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614C4" w14:textId="1A232DE0" w:rsidR="00310D7E" w:rsidRPr="00310D7E" w:rsidRDefault="00310D7E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310D7E">
        <w:rPr>
          <w:rFonts w:ascii="Times New Roman" w:hAnsi="Times New Roman" w:cs="Times New Roman"/>
          <w:sz w:val="24"/>
          <w:szCs w:val="24"/>
        </w:rPr>
        <w:t>Приложение №</w:t>
      </w:r>
      <w:r w:rsidR="005878DC">
        <w:rPr>
          <w:rFonts w:ascii="Times New Roman" w:hAnsi="Times New Roman" w:cs="Times New Roman"/>
          <w:sz w:val="24"/>
          <w:szCs w:val="24"/>
        </w:rPr>
        <w:t>10</w:t>
      </w:r>
    </w:p>
    <w:p w14:paraId="26C75A0D" w14:textId="6BEE0EB7" w:rsidR="00310D7E" w:rsidRPr="00310D7E" w:rsidRDefault="00310D7E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310D7E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5878DC">
        <w:rPr>
          <w:rFonts w:ascii="Times New Roman" w:hAnsi="Times New Roman" w:cs="Times New Roman"/>
          <w:sz w:val="24"/>
          <w:szCs w:val="24"/>
        </w:rPr>
        <w:t>4</w:t>
      </w:r>
    </w:p>
    <w:p w14:paraId="48D67D10" w14:textId="77777777" w:rsidR="00310D7E" w:rsidRPr="00310D7E" w:rsidRDefault="00310D7E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CDB9D36" w14:textId="0321A292" w:rsidR="00A65CCF" w:rsidRPr="00752341" w:rsidRDefault="00A65CCF" w:rsidP="00A65CC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52341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5</w:t>
      </w:r>
      <w:r w:rsidR="0018704D">
        <w:rPr>
          <w:rFonts w:ascii="Times New Roman" w:hAnsi="Times New Roman" w:cs="Times New Roman"/>
          <w:sz w:val="24"/>
          <w:szCs w:val="24"/>
        </w:rPr>
        <w:t>4</w:t>
      </w:r>
    </w:p>
    <w:p w14:paraId="302AEB3F" w14:textId="48DE7999" w:rsidR="00A65CCF" w:rsidRPr="00752341" w:rsidRDefault="00A65CCF" w:rsidP="00A65CC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52341">
        <w:rPr>
          <w:rFonts w:ascii="Times New Roman" w:hAnsi="Times New Roman" w:cs="Times New Roman"/>
          <w:sz w:val="24"/>
          <w:szCs w:val="24"/>
        </w:rPr>
        <w:t xml:space="preserve"> Тарифному соглашению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10D7E">
        <w:rPr>
          <w:rFonts w:ascii="Times New Roman" w:hAnsi="Times New Roman" w:cs="Times New Roman"/>
          <w:sz w:val="24"/>
          <w:szCs w:val="24"/>
        </w:rPr>
        <w:t>4</w:t>
      </w:r>
      <w:r w:rsidRPr="00752341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98FA66D" w14:textId="77777777" w:rsidR="00A65CCF" w:rsidRDefault="00A65CCF" w:rsidP="00A65CCF"/>
    <w:p w14:paraId="16F09BEF" w14:textId="31ED351A" w:rsidR="00A65CCF" w:rsidRPr="00752341" w:rsidRDefault="00A65CCF" w:rsidP="00A65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Pr="00752341">
        <w:rPr>
          <w:rFonts w:ascii="Times New Roman" w:hAnsi="Times New Roman"/>
          <w:b/>
          <w:sz w:val="28"/>
          <w:szCs w:val="28"/>
        </w:rPr>
        <w:t>оплаты медицинской помощи, оказываемой по всем видам и условиям, по подушевому нормативу финансирования на прикрепившихся лиц, с учетом показателей результативности деятельности медицинской организации (включая показали объем</w:t>
      </w:r>
      <w:r>
        <w:rPr>
          <w:rFonts w:ascii="Times New Roman" w:hAnsi="Times New Roman"/>
          <w:b/>
          <w:sz w:val="28"/>
          <w:szCs w:val="28"/>
        </w:rPr>
        <w:t>а</w:t>
      </w:r>
      <w:r w:rsidRPr="00752341">
        <w:rPr>
          <w:rFonts w:ascii="Times New Roman" w:hAnsi="Times New Roman"/>
          <w:b/>
          <w:sz w:val="28"/>
          <w:szCs w:val="28"/>
        </w:rPr>
        <w:t xml:space="preserve"> медицинской помощи),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310D7E">
        <w:rPr>
          <w:rFonts w:ascii="Times New Roman" w:hAnsi="Times New Roman"/>
          <w:b/>
          <w:sz w:val="28"/>
          <w:szCs w:val="28"/>
        </w:rPr>
        <w:t>4</w:t>
      </w:r>
      <w:r w:rsidRPr="00752341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279AEEE0" w14:textId="77777777" w:rsidR="00A65CCF" w:rsidRDefault="00A65CCF" w:rsidP="00A65CC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7DCAD30D" w14:textId="06267033" w:rsidR="00A65CCF" w:rsidRDefault="00A65CCF" w:rsidP="00A65C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52341">
        <w:rPr>
          <w:rFonts w:ascii="Times New Roman" w:hAnsi="Times New Roman"/>
          <w:sz w:val="28"/>
          <w:szCs w:val="28"/>
        </w:rPr>
        <w:t>Настоящий Порядок определяет расчет размера подушевого норматива финансирования на прикрепившихся лиц и выплат за выполнение показателей результативности деятельности медицинским организациям, имеющим прикрепившихся лиц и оказывающим медицинскую помощь в амбулаторных, стационарных условиях и в условиях дневного стационара в 20</w:t>
      </w:r>
      <w:r>
        <w:rPr>
          <w:rFonts w:ascii="Times New Roman" w:hAnsi="Times New Roman"/>
          <w:sz w:val="28"/>
          <w:szCs w:val="28"/>
        </w:rPr>
        <w:t>2</w:t>
      </w:r>
      <w:r w:rsidR="00310D7E">
        <w:rPr>
          <w:rFonts w:ascii="Times New Roman" w:hAnsi="Times New Roman"/>
          <w:sz w:val="28"/>
          <w:szCs w:val="28"/>
        </w:rPr>
        <w:t>4</w:t>
      </w:r>
      <w:r w:rsidRPr="00752341">
        <w:rPr>
          <w:rFonts w:ascii="Times New Roman" w:hAnsi="Times New Roman"/>
          <w:sz w:val="28"/>
          <w:szCs w:val="28"/>
        </w:rPr>
        <w:t xml:space="preserve"> году.</w:t>
      </w:r>
    </w:p>
    <w:p w14:paraId="690F8518" w14:textId="3FBDAFFE" w:rsidR="00A65CCF" w:rsidRDefault="00A65CCF" w:rsidP="00A65C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 объем средств на финансовое обеспечение медицинской помощи в стационарных условиях и в условиях дневного стационара (Приложение №6</w:t>
      </w:r>
      <w:r w:rsidR="00310D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Тарифному соглашению на 202</w:t>
      </w:r>
      <w:r w:rsidR="00310D7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14:paraId="1371CECD" w14:textId="6275D964" w:rsidR="00A65CCF" w:rsidRPr="00752341" w:rsidRDefault="00A65CCF" w:rsidP="00310D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Коэффициент дифференциации подушевого норматива </w:t>
      </w:r>
      <w:r w:rsidR="007E733C">
        <w:rPr>
          <w:rFonts w:ascii="Times New Roman" w:hAnsi="Times New Roman"/>
          <w:sz w:val="28"/>
          <w:szCs w:val="28"/>
        </w:rPr>
        <w:t>определяется</w:t>
      </w:r>
      <w:r>
        <w:rPr>
          <w:rFonts w:ascii="Times New Roman" w:hAnsi="Times New Roman"/>
          <w:sz w:val="28"/>
          <w:szCs w:val="28"/>
        </w:rPr>
        <w:t xml:space="preserve"> по каждой медицинской организации с учетом </w:t>
      </w:r>
      <w:r w:rsidR="007E733C">
        <w:rPr>
          <w:rFonts w:ascii="Times New Roman" w:hAnsi="Times New Roman"/>
          <w:sz w:val="28"/>
          <w:szCs w:val="28"/>
        </w:rPr>
        <w:t>половозрастного</w:t>
      </w:r>
      <w:r>
        <w:rPr>
          <w:rFonts w:ascii="Times New Roman" w:hAnsi="Times New Roman"/>
          <w:sz w:val="28"/>
          <w:szCs w:val="28"/>
        </w:rPr>
        <w:t xml:space="preserve"> коэффициента дифференциации, </w:t>
      </w:r>
      <w:r w:rsidR="007E733C">
        <w:rPr>
          <w:rFonts w:ascii="Times New Roman" w:hAnsi="Times New Roman"/>
          <w:sz w:val="28"/>
          <w:szCs w:val="28"/>
        </w:rPr>
        <w:t>рассчитанного</w:t>
      </w:r>
      <w:r>
        <w:rPr>
          <w:rFonts w:ascii="Times New Roman" w:hAnsi="Times New Roman"/>
          <w:sz w:val="28"/>
          <w:szCs w:val="28"/>
        </w:rPr>
        <w:t xml:space="preserve"> для соответствующей МО, коэффи</w:t>
      </w:r>
      <w:r w:rsidR="007E733C">
        <w:rPr>
          <w:rFonts w:ascii="Times New Roman" w:hAnsi="Times New Roman"/>
          <w:sz w:val="28"/>
          <w:szCs w:val="28"/>
        </w:rPr>
        <w:t>ци</w:t>
      </w:r>
      <w:r>
        <w:rPr>
          <w:rFonts w:ascii="Times New Roman" w:hAnsi="Times New Roman"/>
          <w:sz w:val="28"/>
          <w:szCs w:val="28"/>
        </w:rPr>
        <w:t xml:space="preserve">ента уровня </w:t>
      </w:r>
      <w:r w:rsidR="00310D7E" w:rsidRPr="00310D7E">
        <w:rPr>
          <w:rFonts w:ascii="Times New Roman" w:hAnsi="Times New Roman"/>
          <w:sz w:val="28"/>
          <w:szCs w:val="28"/>
        </w:rPr>
        <w:t>расходов медицинских организаций</w:t>
      </w:r>
      <w:r>
        <w:rPr>
          <w:rFonts w:ascii="Times New Roman" w:hAnsi="Times New Roman"/>
          <w:sz w:val="28"/>
          <w:szCs w:val="28"/>
        </w:rPr>
        <w:t xml:space="preserve">, </w:t>
      </w:r>
      <w:r w:rsidR="00310D7E">
        <w:rPr>
          <w:rFonts w:ascii="Times New Roman" w:hAnsi="Times New Roman"/>
          <w:sz w:val="28"/>
          <w:szCs w:val="28"/>
        </w:rPr>
        <w:t>к</w:t>
      </w:r>
      <w:r w:rsidR="00310D7E" w:rsidRPr="00310D7E">
        <w:rPr>
          <w:rFonts w:ascii="Times New Roman" w:hAnsi="Times New Roman"/>
          <w:sz w:val="28"/>
          <w:szCs w:val="28"/>
        </w:rPr>
        <w:t>оэффициент</w:t>
      </w:r>
      <w:r w:rsidR="00310D7E">
        <w:rPr>
          <w:rFonts w:ascii="Times New Roman" w:hAnsi="Times New Roman"/>
          <w:sz w:val="28"/>
          <w:szCs w:val="28"/>
        </w:rPr>
        <w:t>а</w:t>
      </w:r>
      <w:r w:rsidR="00310D7E" w:rsidRPr="00310D7E">
        <w:rPr>
          <w:rFonts w:ascii="Times New Roman" w:hAnsi="Times New Roman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"дорожными картами" развития здравоохранения РТ</w:t>
      </w:r>
      <w:r>
        <w:rPr>
          <w:rFonts w:ascii="Times New Roman" w:hAnsi="Times New Roman"/>
          <w:sz w:val="28"/>
          <w:szCs w:val="28"/>
        </w:rPr>
        <w:t xml:space="preserve">, </w:t>
      </w:r>
      <w:r w:rsidR="00310D7E">
        <w:rPr>
          <w:rFonts w:ascii="Times New Roman" w:hAnsi="Times New Roman"/>
          <w:sz w:val="28"/>
          <w:szCs w:val="28"/>
        </w:rPr>
        <w:t>к</w:t>
      </w:r>
      <w:r w:rsidR="00310D7E" w:rsidRPr="00310D7E">
        <w:rPr>
          <w:rFonts w:ascii="Times New Roman" w:hAnsi="Times New Roman"/>
          <w:sz w:val="28"/>
          <w:szCs w:val="28"/>
        </w:rPr>
        <w:t>оэффициент</w:t>
      </w:r>
      <w:r w:rsidR="00310D7E">
        <w:rPr>
          <w:rFonts w:ascii="Times New Roman" w:hAnsi="Times New Roman"/>
          <w:sz w:val="28"/>
          <w:szCs w:val="28"/>
        </w:rPr>
        <w:t>а</w:t>
      </w:r>
      <w:r w:rsidR="00310D7E" w:rsidRPr="00310D7E">
        <w:rPr>
          <w:rFonts w:ascii="Times New Roman" w:hAnsi="Times New Roman"/>
          <w:sz w:val="28"/>
          <w:szCs w:val="28"/>
        </w:rPr>
        <w:t xml:space="preserve"> дифференциации на прикрепившихся к медицинской</w:t>
      </w:r>
      <w:r w:rsidR="00310D7E">
        <w:rPr>
          <w:rFonts w:ascii="Times New Roman" w:hAnsi="Times New Roman"/>
          <w:sz w:val="28"/>
          <w:szCs w:val="28"/>
        </w:rPr>
        <w:t xml:space="preserve"> </w:t>
      </w:r>
      <w:r w:rsidR="00310D7E" w:rsidRPr="00310D7E">
        <w:rPr>
          <w:rFonts w:ascii="Times New Roman" w:hAnsi="Times New Roman"/>
          <w:sz w:val="28"/>
          <w:szCs w:val="28"/>
        </w:rPr>
        <w:t>организации лиц с учетом наличия подразделений, расположенных</w:t>
      </w:r>
      <w:r w:rsidR="00310D7E">
        <w:rPr>
          <w:rFonts w:ascii="Times New Roman" w:hAnsi="Times New Roman"/>
          <w:sz w:val="28"/>
          <w:szCs w:val="28"/>
        </w:rPr>
        <w:t xml:space="preserve"> </w:t>
      </w:r>
      <w:r w:rsidR="00310D7E" w:rsidRPr="00310D7E">
        <w:rPr>
          <w:rFonts w:ascii="Times New Roman" w:hAnsi="Times New Roman"/>
          <w:sz w:val="28"/>
          <w:szCs w:val="28"/>
        </w:rPr>
        <w:t>в сельской местности, отдаленных территориях, поселках городского типа</w:t>
      </w:r>
      <w:r w:rsidR="00310D7E">
        <w:rPr>
          <w:rFonts w:ascii="Times New Roman" w:hAnsi="Times New Roman"/>
          <w:sz w:val="28"/>
          <w:szCs w:val="28"/>
        </w:rPr>
        <w:t xml:space="preserve"> </w:t>
      </w:r>
      <w:r w:rsidR="00310D7E" w:rsidRPr="00310D7E">
        <w:rPr>
          <w:rFonts w:ascii="Times New Roman" w:hAnsi="Times New Roman"/>
          <w:sz w:val="28"/>
          <w:szCs w:val="28"/>
        </w:rPr>
        <w:t>и малых городах с численностью населения до 50 тысяч человек, и расходов</w:t>
      </w:r>
      <w:r w:rsidR="00310D7E">
        <w:rPr>
          <w:rFonts w:ascii="Times New Roman" w:hAnsi="Times New Roman"/>
          <w:sz w:val="28"/>
          <w:szCs w:val="28"/>
        </w:rPr>
        <w:t xml:space="preserve"> </w:t>
      </w:r>
      <w:r w:rsidR="00310D7E" w:rsidRPr="00310D7E">
        <w:rPr>
          <w:rFonts w:ascii="Times New Roman" w:hAnsi="Times New Roman"/>
          <w:sz w:val="28"/>
          <w:szCs w:val="28"/>
        </w:rPr>
        <w:t>на их содержание и оплату труда персонала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017433A" w14:textId="77777777" w:rsidR="00A65CCF" w:rsidRPr="00752341" w:rsidRDefault="00A65CCF" w:rsidP="00A65CC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подушевого норматива финансирования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на прикрепившихся лиц (</w:t>
      </w:r>
      <w:proofErr w:type="spellStart"/>
      <w:r w:rsidRPr="00752341">
        <w:rPr>
          <w:rFonts w:ascii="Times New Roman" w:eastAsia="Calibri" w:hAnsi="Times New Roman" w:cs="Times New Roman"/>
          <w:b/>
          <w:sz w:val="28"/>
          <w:szCs w:val="28"/>
        </w:rPr>
        <w:t>ПДНмо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>) определяется по формуле:</w:t>
      </w:r>
    </w:p>
    <w:p w14:paraId="677AB6C0" w14:textId="77777777" w:rsidR="00A65CCF" w:rsidRPr="00752341" w:rsidRDefault="00A65CCF" w:rsidP="00A65CC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1872"/>
        <w:gridCol w:w="908"/>
      </w:tblGrid>
      <w:tr w:rsidR="00A65CCF" w:rsidRPr="00752341" w14:paraId="2C46E861" w14:textId="77777777" w:rsidTr="00C962B1">
        <w:trPr>
          <w:jc w:val="center"/>
        </w:trPr>
        <w:tc>
          <w:tcPr>
            <w:tcW w:w="1734" w:type="dxa"/>
            <w:vMerge w:val="restart"/>
            <w:shd w:val="clear" w:color="auto" w:fill="auto"/>
            <w:vAlign w:val="center"/>
          </w:tcPr>
          <w:p w14:paraId="69C1C3CE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ind w:right="-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>ПДНмо</w:t>
            </w:r>
            <w:proofErr w:type="spellEnd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4981B0CB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0F68385C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ind w:left="-925"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/ 12, </w:t>
            </w:r>
          </w:p>
        </w:tc>
      </w:tr>
      <w:tr w:rsidR="00A65CCF" w:rsidRPr="00752341" w14:paraId="20EB646A" w14:textId="77777777" w:rsidTr="00C962B1">
        <w:trPr>
          <w:jc w:val="center"/>
        </w:trPr>
        <w:tc>
          <w:tcPr>
            <w:tcW w:w="1734" w:type="dxa"/>
            <w:vMerge/>
            <w:shd w:val="clear" w:color="auto" w:fill="auto"/>
          </w:tcPr>
          <w:p w14:paraId="374DAB9A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39BD0F08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908" w:type="dxa"/>
            <w:vMerge/>
            <w:shd w:val="clear" w:color="auto" w:fill="auto"/>
          </w:tcPr>
          <w:p w14:paraId="24F688D0" w14:textId="77777777" w:rsidR="00A65CCF" w:rsidRPr="00752341" w:rsidRDefault="00A65CCF" w:rsidP="00C962B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0177E99D" w14:textId="77777777" w:rsidR="00A65CCF" w:rsidRPr="00752341" w:rsidRDefault="00A65CCF" w:rsidP="00A65CC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011"/>
      </w:tblGrid>
      <w:tr w:rsidR="00A65CCF" w:rsidRPr="00752341" w14:paraId="2688280D" w14:textId="77777777" w:rsidTr="00C962B1">
        <w:trPr>
          <w:trHeight w:val="1074"/>
        </w:trPr>
        <w:tc>
          <w:tcPr>
            <w:tcW w:w="1668" w:type="dxa"/>
          </w:tcPr>
          <w:p w14:paraId="7049DADD" w14:textId="77777777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</w:p>
        </w:tc>
        <w:tc>
          <w:tcPr>
            <w:tcW w:w="8329" w:type="dxa"/>
          </w:tcPr>
          <w:p w14:paraId="5C5E3E48" w14:textId="4FA18069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расчетный размер финансового обеспечения распределенных объемов предоставления медицинской помощи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>, оказываемой по всем видам и условиям на 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310D7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год;</w:t>
            </w:r>
          </w:p>
        </w:tc>
      </w:tr>
      <w:tr w:rsidR="00A65CCF" w:rsidRPr="00752341" w14:paraId="3312204F" w14:textId="77777777" w:rsidTr="00C962B1">
        <w:trPr>
          <w:trHeight w:val="706"/>
        </w:trPr>
        <w:tc>
          <w:tcPr>
            <w:tcW w:w="1668" w:type="dxa"/>
          </w:tcPr>
          <w:p w14:paraId="507530AC" w14:textId="77777777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8329" w:type="dxa"/>
          </w:tcPr>
          <w:p w14:paraId="3AD907EF" w14:textId="171D904E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 (</w:t>
            </w:r>
            <w:r w:rsidR="00310D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="007E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E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310D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A65CCF" w:rsidRPr="00752341" w14:paraId="169DCE23" w14:textId="77777777" w:rsidTr="00C962B1">
        <w:trPr>
          <w:trHeight w:val="405"/>
        </w:trPr>
        <w:tc>
          <w:tcPr>
            <w:tcW w:w="1668" w:type="dxa"/>
          </w:tcPr>
          <w:p w14:paraId="596E5149" w14:textId="77777777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8329" w:type="dxa"/>
          </w:tcPr>
          <w:p w14:paraId="78314E82" w14:textId="77777777" w:rsidR="00A65CCF" w:rsidRPr="00752341" w:rsidRDefault="00A65CCF" w:rsidP="00C962B1">
            <w:pPr>
              <w:tabs>
                <w:tab w:val="left" w:pos="851"/>
              </w:tabs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застрахованных прикрепленных лиц;</w:t>
            </w:r>
          </w:p>
        </w:tc>
      </w:tr>
      <w:tr w:rsidR="00A65CCF" w:rsidRPr="00752341" w14:paraId="35B2E3B8" w14:textId="77777777" w:rsidTr="00C962B1">
        <w:tc>
          <w:tcPr>
            <w:tcW w:w="1668" w:type="dxa"/>
          </w:tcPr>
          <w:p w14:paraId="3EF9C066" w14:textId="77777777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29" w:type="dxa"/>
          </w:tcPr>
          <w:p w14:paraId="0E56DEED" w14:textId="77777777" w:rsidR="00A65CCF" w:rsidRPr="00752341" w:rsidRDefault="00A65CCF" w:rsidP="00C962B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месяцев в году.</w:t>
            </w:r>
          </w:p>
        </w:tc>
      </w:tr>
    </w:tbl>
    <w:p w14:paraId="2AD6D779" w14:textId="77777777" w:rsidR="00A65CCF" w:rsidRPr="00752341" w:rsidRDefault="00A65CCF" w:rsidP="00A65CC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84F85" w14:textId="77777777" w:rsidR="005878DC" w:rsidRPr="005878DC" w:rsidRDefault="00A65CCF" w:rsidP="005878D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Базовый подушевого норматива финансирования на прикрепившихся лиц, включая оплату медицинской помощи по всем видам и условиям предоставления медицинской помощи с учетом показателей результативности деятельности медицинской организации (включая показатели объема медицинской помощи) включают расходы на оплату медицинской помощи в рамках базовой программы обязательного медицинского страхования, в том числе доврачебную, врачебную медико-санитарную помощь, первичную специализированную медико-санитарную помощь, организационную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расходы на медицинскую помощь, оказываемую в неотложной форме, расходы на оплату с применением телемедицинских технологий, а также специализированную медицинскую помощь в соответствии с установленной единицей объема медицинской помощи – случай госпитализации, случай лечения в дневном стационаре, </w:t>
      </w:r>
      <w:r w:rsidR="005878DC" w:rsidRPr="005878DC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t xml:space="preserve">а также расходы на оплату консультаций медицинским психологом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ОМС, </w:t>
      </w:r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за исключением расходов на проведение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 а также средств на оплату диспансерного наблюдения, включая диспансерное наблюдение работающих граждан, отдельных диагностических лабораторных исследований (проведение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>биопсийного</w:t>
      </w:r>
      <w:proofErr w:type="spellEnd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>биопсийного</w:t>
      </w:r>
      <w:proofErr w:type="spellEnd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(операционного) материала, на проведение тестирования на выявление новой </w:t>
      </w:r>
      <w:proofErr w:type="spellStart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>коронавирусной</w:t>
      </w:r>
      <w:proofErr w:type="spellEnd"/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инфекции (COVID-19)), гемодиализа,</w:t>
      </w:r>
      <w:r w:rsidR="005878DC" w:rsidRPr="005878DC">
        <w:rPr>
          <w:rFonts w:ascii="Calibri" w:eastAsia="Calibri" w:hAnsi="Calibri" w:cs="Times New Roman"/>
          <w:i/>
          <w:iCs/>
        </w:rPr>
        <w:t xml:space="preserve"> </w:t>
      </w:r>
      <w:r w:rsidR="005878DC" w:rsidRPr="005878DC">
        <w:rPr>
          <w:rFonts w:ascii="Times New Roman" w:eastAsia="Calibri" w:hAnsi="Times New Roman" w:cs="Times New Roman"/>
          <w:i/>
          <w:iCs/>
          <w:sz w:val="28"/>
          <w:szCs w:val="28"/>
        </w:rPr>
        <w:t>расходы на финансовое обеспечение фельдшерских здравпунктов, фельдшерско-акушерских пунктов, высокотехнологической медицинской помощи, а также расходы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5878DC" w:rsidRPr="005878DC">
        <w:rPr>
          <w:rFonts w:ascii="Times New Roman" w:eastAsia="Calibri" w:hAnsi="Times New Roman" w:cs="Times New Roman"/>
          <w:sz w:val="28"/>
          <w:szCs w:val="28"/>
        </w:rPr>
        <w:t>.</w:t>
      </w:r>
      <w:r w:rsidR="005878DC" w:rsidRPr="005878DC">
        <w:rPr>
          <w:rFonts w:ascii="Calibri" w:eastAsia="Calibri" w:hAnsi="Calibri" w:cs="Times New Roman"/>
        </w:rPr>
        <w:t xml:space="preserve"> </w:t>
      </w:r>
    </w:p>
    <w:p w14:paraId="77357D1C" w14:textId="77777777" w:rsidR="005878DC" w:rsidRPr="005878DC" w:rsidRDefault="005878DC" w:rsidP="005878D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  <w:r w:rsidRPr="005878D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5878DC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t xml:space="preserve">Вне подушевого норматива финансирования также оплачиваются: диспансеризация детей, проживающих в организациях социального </w:t>
      </w:r>
      <w:r w:rsidRPr="005878DC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lastRenderedPageBreak/>
        <w:t>обслуживания (детских домах-интернатах), предоставляющих социальные услуги в стационарной форме;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форме; диспансерное наблюдение обучающихся в образовательных организациях (старше 18 лет).</w:t>
      </w:r>
    </w:p>
    <w:p w14:paraId="32611819" w14:textId="764CB12A" w:rsidR="00A65CCF" w:rsidRDefault="00A65CCF" w:rsidP="005878D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К подушевому нормативу финансирования на прикрепившихся лиц таких МО с учетом расходов на содержание МО и оплату тр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уда персонала исходя из расположения и отдаленности обслуживаемых территорий применяются следующие коэффициенты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от</m:t>
            </m:r>
          </m:sub>
        </m:sSub>
      </m:oMath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1E654F7" w14:textId="77777777" w:rsidR="00A65CCF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 1,113 для МО и их подразделений, обслуживающих до 20 тысяч человек;</w:t>
      </w:r>
    </w:p>
    <w:p w14:paraId="0C56786D" w14:textId="77777777" w:rsidR="00A65CCF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 1,04 для МО и их подразделений, обслуживающих свыше 20 тысяч человек.</w:t>
      </w:r>
    </w:p>
    <w:p w14:paraId="6C56A844" w14:textId="4AE820CF" w:rsidR="00A65CCF" w:rsidRPr="004D7B2A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к подушевому нормативу финансирования на прикрепившихся лиц таких МО применяются, </w:t>
      </w:r>
      <w:r w:rsid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4D7B2A"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</w:t>
      </w:r>
      <w:r w:rsid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ур</m:t>
            </m:r>
          </m:sub>
          <m:sup/>
        </m:sSubSup>
      </m:oMath>
      <w:r w:rsid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proofErr w:type="spellStart"/>
      <w:r w:rsidR="004D7B2A"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</w:t>
      </w:r>
      <w:proofErr w:type="spellEnd"/>
      <w:r w:rsidR="004D7B2A"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 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</m:t>
        </m:r>
      </m:oMath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4D7B2A"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 половозрастного состава,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</m:sup>
        </m:sSubSup>
      </m:oMath>
      <w:r w:rsidRPr="004D7B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821B28" w14:textId="77777777" w:rsidR="00A65CCF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Итоговый объем финансового обеспечения МО по подушевому нормативу определяется с учетом стимулирующей части.</w:t>
      </w:r>
    </w:p>
    <w:p w14:paraId="4158C172" w14:textId="0D2A521C" w:rsidR="00A65CCF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Размер средств на стимулирующую часть составляет </w:t>
      </w:r>
      <w:r w:rsidR="004D7B2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% от средств на финансовое обеспечение по подушевому нормативу медицинской помощи, оказанной в амбулаторных условиях.</w:t>
      </w:r>
    </w:p>
    <w:p w14:paraId="05020C2F" w14:textId="76657FD3" w:rsidR="00A65CCF" w:rsidRDefault="00A65CCF" w:rsidP="007E73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Размер подушевого норматива финансирования на прикрепившихся лиц, включая оплату медицинской помощи по всем видам и условиям предоставления медицинской помощи с учетом показателей результативности деятельности медицинской организации и на основе подушевого норматива финансирования оплата медицинской на 202</w:t>
      </w:r>
      <w:r w:rsidR="004D7B2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год, утвержден</w:t>
      </w:r>
      <w:r w:rsidR="00390B30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390B30">
        <w:rPr>
          <w:rFonts w:ascii="Times New Roman" w:eastAsia="Calibri" w:hAnsi="Times New Roman" w:cs="Times New Roman"/>
          <w:sz w:val="28"/>
          <w:szCs w:val="28"/>
        </w:rPr>
        <w:t>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90B30">
        <w:rPr>
          <w:rFonts w:ascii="Times New Roman" w:eastAsia="Calibri" w:hAnsi="Times New Roman" w:cs="Times New Roman"/>
          <w:sz w:val="28"/>
          <w:szCs w:val="28"/>
        </w:rPr>
        <w:t>№58-60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3A9A0B6A" w14:textId="485F8201" w:rsidR="00A65CCF" w:rsidRPr="00295AF4" w:rsidRDefault="00A65CCF" w:rsidP="00A65CC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оказател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 результативности деятельности МО разделены на 3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блок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в соответствии с Таблицей 1 приложения </w:t>
      </w:r>
      <w:r w:rsidR="007E733C">
        <w:rPr>
          <w:rFonts w:ascii="Times New Roman" w:eastAsia="Times New Roman" w:hAnsi="Times New Roman" w:cs="Times New Roman"/>
          <w:sz w:val="28"/>
          <w:szCs w:val="20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Тарифному соглашению на 202</w:t>
      </w:r>
      <w:r w:rsidR="00390B3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отражающих результативность оказания медицинской помощи (взрослому населению, детскому населению, акушерско-гинекологической помощи женщинам). Каждый показатель, включенный в блок,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оценивается в баллах, которые суммируются. </w:t>
      </w:r>
    </w:p>
    <w:p w14:paraId="42B4BF05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 каждому показателю определяется балл в диапазоне от 0 до 3 баллов.</w:t>
      </w:r>
    </w:p>
    <w:p w14:paraId="2B10F0AB" w14:textId="59ACCD1B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</w:t>
      </w:r>
      <w:r w:rsidR="007E733C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процентов показателей, II – от </w:t>
      </w:r>
      <w:r w:rsidR="007E733C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</w:t>
      </w:r>
      <w:r w:rsidR="00115D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(включительно)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</w:t>
      </w:r>
      <w:r w:rsidR="007E733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процентов показателей,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</w:t>
      </w:r>
      <w:r w:rsidR="00115D6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</w:t>
      </w:r>
      <w:r w:rsidR="00115D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(включительно)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процентов показателей</w:t>
      </w:r>
      <w:r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43ED9F65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Оценка достижения значений показателей результативности деятельности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0E08C647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01AB4A71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235390D1" w14:textId="77777777" w:rsidR="00A65CCF" w:rsidRPr="00295AF4" w:rsidRDefault="00A65CCF" w:rsidP="00A65CCF">
      <w:pPr>
        <w:widowControl w:val="0"/>
        <w:autoSpaceDE w:val="0"/>
        <w:autoSpaceDN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14:paraId="57E76B82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1432F1" w14:textId="77777777" w:rsidR="00A65CCF" w:rsidRPr="00295AF4" w:rsidRDefault="005878DC" w:rsidP="00A65C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где:</w:t>
      </w:r>
    </w:p>
    <w:p w14:paraId="75F323C9" w14:textId="77777777" w:rsidR="00A65CCF" w:rsidRPr="00295AF4" w:rsidRDefault="005878DC" w:rsidP="00A65CCF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70 процентов от объема средств на стимулирование медицинских организаций за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14:paraId="0BB0C6DD" w14:textId="77777777" w:rsidR="00A65CCF" w:rsidRPr="00295AF4" w:rsidRDefault="005878DC" w:rsidP="00A65CCF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14:paraId="17C9D50B" w14:textId="77777777" w:rsidR="00A65CCF" w:rsidRPr="00295AF4" w:rsidRDefault="005878DC" w:rsidP="00A65CCF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FEC8C9" w14:textId="77777777" w:rsidR="00A65CCF" w:rsidRPr="00295AF4" w:rsidRDefault="00A65CCF" w:rsidP="00A65CC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F4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295AF4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295AF4">
        <w:rPr>
          <w:rFonts w:ascii="Times New Roman" w:eastAsia="Calibri" w:hAnsi="Times New Roman" w:cs="Times New Roman"/>
          <w:sz w:val="28"/>
          <w:szCs w:val="28"/>
        </w:rPr>
        <w:t>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2D698CEE" w14:textId="77777777" w:rsidR="00A65CCF" w:rsidRPr="00295AF4" w:rsidRDefault="00A65CCF" w:rsidP="00A65CC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504BFF" w14:textId="77777777" w:rsidR="00A65CCF" w:rsidRPr="00295AF4" w:rsidRDefault="005878DC" w:rsidP="00A65C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sz w:val="28"/>
                <w:szCs w:val="20"/>
                <w:lang w:eastAsia="ru-RU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12</m:t>
            </m:r>
          </m:den>
        </m:f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14:paraId="34803EB1" w14:textId="77777777" w:rsidR="00A65CCF" w:rsidRPr="00295AF4" w:rsidRDefault="005878DC" w:rsidP="00A65CCF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</m:t>
            </m:r>
          </m:sub>
        </m:sSub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 среднегодовая численность прикрепленного населения 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в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-м году, человек;</w:t>
      </w:r>
    </w:p>
    <w:p w14:paraId="36F1E9F6" w14:textId="77777777" w:rsidR="00A65CCF" w:rsidRPr="00295AF4" w:rsidRDefault="005878DC" w:rsidP="00A65CCF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</m:t>
            </m:r>
          </m:sub>
        </m:sSub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численность прикрепленного населения 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человек;</w:t>
      </w:r>
    </w:p>
    <w:p w14:paraId="79A95E27" w14:textId="77777777" w:rsidR="00A65CCF" w:rsidRPr="00295AF4" w:rsidRDefault="005878DC" w:rsidP="00A65CCF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мес2</m:t>
            </m:r>
          </m:sub>
        </m:sSub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численность прикрепленного насе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тым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, человек;</w:t>
      </w:r>
    </w:p>
    <w:p w14:paraId="718DEB90" w14:textId="77777777" w:rsidR="00A65CCF" w:rsidRPr="00295AF4" w:rsidRDefault="005878DC" w:rsidP="00A65CCF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мес11</m:t>
            </m:r>
          </m:sub>
        </m:sSub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численность прикрепленного населения 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человек;</w:t>
      </w:r>
    </w:p>
    <w:p w14:paraId="6C92D4A4" w14:textId="77777777" w:rsidR="00A65CCF" w:rsidRDefault="005878DC" w:rsidP="00A65CCF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</m:t>
            </m:r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численность прикрепленного населения 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человек.</w:t>
      </w:r>
    </w:p>
    <w:p w14:paraId="57F495FB" w14:textId="77777777" w:rsidR="00A65CCF" w:rsidRPr="00295AF4" w:rsidRDefault="00A65CCF" w:rsidP="00A65CCF">
      <w:pPr>
        <w:spacing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2AA881" w14:textId="77777777" w:rsidR="00A65CCF" w:rsidRPr="00295AF4" w:rsidRDefault="00A65CCF" w:rsidP="00A65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95AF4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295AF4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295AF4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295AF4">
        <w:rPr>
          <w:rFonts w:ascii="Times New Roman" w:eastAsia="Calibri" w:hAnsi="Times New Roman" w:cs="Times New Roman"/>
          <w:sz w:val="28"/>
          <w:lang w:val="en-US"/>
        </w:rPr>
        <w:t>II</w:t>
      </w:r>
      <w:r w:rsidRPr="00295AF4">
        <w:rPr>
          <w:rFonts w:ascii="Times New Roman" w:eastAsia="Calibri" w:hAnsi="Times New Roman" w:cs="Times New Roman"/>
          <w:sz w:val="28"/>
        </w:rPr>
        <w:t xml:space="preserve"> и </w:t>
      </w:r>
      <w:r w:rsidRPr="00295AF4">
        <w:rPr>
          <w:rFonts w:ascii="Times New Roman" w:eastAsia="Calibri" w:hAnsi="Times New Roman" w:cs="Times New Roman"/>
          <w:sz w:val="28"/>
          <w:lang w:val="en-US"/>
        </w:rPr>
        <w:t>III</w:t>
      </w:r>
      <w:r w:rsidRPr="00295AF4">
        <w:rPr>
          <w:rFonts w:ascii="Times New Roman" w:eastAsia="Calibri" w:hAnsi="Times New Roman" w:cs="Times New Roman"/>
          <w:sz w:val="28"/>
        </w:rPr>
        <w:t xml:space="preserve"> групп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95AF4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295AF4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</w:t>
      </w:r>
      <w:r w:rsidRPr="00295AF4">
        <w:rPr>
          <w:rFonts w:ascii="Times New Roman" w:eastAsia="Calibri" w:hAnsi="Times New Roman" w:cs="Times New Roman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295AF4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14:paraId="488F5366" w14:textId="77777777" w:rsidR="00A65CCF" w:rsidRPr="00295AF4" w:rsidRDefault="005878DC" w:rsidP="00A65C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</w:t>
      </w:r>
    </w:p>
    <w:p w14:paraId="3D7F5788" w14:textId="77777777" w:rsidR="00A65CCF" w:rsidRDefault="005878DC" w:rsidP="00A65CCF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14:paraId="594DD053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DEAC7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776499F9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6973E2CF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D11B0F" w14:textId="77777777" w:rsidR="00A65CCF" w:rsidRPr="00295AF4" w:rsidRDefault="005878DC" w:rsidP="00A65C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14:paraId="7A07CB96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14:paraId="181A4217" w14:textId="77777777" w:rsidR="00A65CCF" w:rsidRPr="00295AF4" w:rsidRDefault="005878DC" w:rsidP="00A65CCF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14:paraId="426624ED" w14:textId="77777777" w:rsidR="00A65CCF" w:rsidRPr="00295AF4" w:rsidRDefault="005878DC" w:rsidP="00A65CCF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14:paraId="63A37741" w14:textId="77777777" w:rsidR="00A65CCF" w:rsidRPr="00295AF4" w:rsidRDefault="005878DC" w:rsidP="00A65CCF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набранных   в  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22ECAE" w14:textId="77777777" w:rsidR="00A65CCF" w:rsidRPr="00295AF4" w:rsidRDefault="00A65CCF" w:rsidP="00A65CC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295AF4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295AF4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295AF4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295AF4">
        <w:rPr>
          <w:rFonts w:ascii="Times New Roman" w:eastAsia="Calibri" w:hAnsi="Times New Roman" w:cs="Times New Roman"/>
          <w:sz w:val="28"/>
        </w:rPr>
        <w:br/>
      </w:r>
      <w:r w:rsidRPr="00295AF4">
        <w:rPr>
          <w:rFonts w:ascii="Times New Roman" w:eastAsia="Calibri" w:hAnsi="Times New Roman" w:cs="Times New Roman"/>
          <w:sz w:val="28"/>
          <w:lang w:val="en-US"/>
        </w:rPr>
        <w:t>III</w:t>
      </w:r>
      <w:r w:rsidRPr="00295AF4">
        <w:rPr>
          <w:rFonts w:ascii="Times New Roman" w:eastAsia="Calibri" w:hAnsi="Times New Roman" w:cs="Times New Roman"/>
          <w:sz w:val="28"/>
        </w:rPr>
        <w:t xml:space="preserve"> группы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95AF4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295AF4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295AF4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14:paraId="03DE908D" w14:textId="77777777" w:rsidR="00A65CCF" w:rsidRPr="00295AF4" w:rsidRDefault="00A65CCF" w:rsidP="00A65CCF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14:paraId="0C5C33B0" w14:textId="77777777" w:rsidR="00A65CCF" w:rsidRPr="00295AF4" w:rsidRDefault="005878DC" w:rsidP="00A65C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где:</w:t>
      </w:r>
    </w:p>
    <w:p w14:paraId="48379ED5" w14:textId="77777777" w:rsidR="00A65CCF" w:rsidRDefault="005878DC" w:rsidP="00A65CCF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A65CCF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65CCF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A65CCF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14:paraId="18D53E8D" w14:textId="77777777" w:rsidR="00A65CCF" w:rsidRPr="00295AF4" w:rsidRDefault="00A65CCF" w:rsidP="00A65CCF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CCC24" w14:textId="77777777" w:rsidR="00390B30" w:rsidRPr="00390B30" w:rsidRDefault="00390B30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</w:t>
      </w: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20C07020" w14:textId="77777777" w:rsidR="00390B30" w:rsidRPr="00390B30" w:rsidRDefault="00390B30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тый</w:t>
      </w:r>
      <w:proofErr w:type="spellEnd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тый</w:t>
      </w:r>
      <w:proofErr w:type="spellEnd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период  –  равняется нулю.</w:t>
      </w:r>
    </w:p>
    <w:p w14:paraId="5A044392" w14:textId="77777777" w:rsidR="00390B30" w:rsidRDefault="00390B30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производиться при условии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2FDA8BA3" w14:textId="64277D71" w:rsidR="00A65CCF" w:rsidRPr="00295AF4" w:rsidRDefault="00A65CCF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9.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 амбулаторных условиях, по результатам оценки ее деятельности, следует производить при условии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6E2BA801" w14:textId="77777777" w:rsidR="00A65CCF" w:rsidRPr="00295AF4" w:rsidRDefault="00A65CCF" w:rsidP="00A65C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 в зависимости от процента выполнения объемов медицинской помощи. </w:t>
      </w:r>
    </w:p>
    <w:p w14:paraId="1BD92C9F" w14:textId="77777777" w:rsidR="00A65CCF" w:rsidRDefault="00A65CCF" w:rsidP="00A65CC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 В случае, когда один или несколько показателей результативности неприменимы для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соответстующей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 и (или) отчетного периода, суммарный максимальный балл и итоговый коэффициент для соответствующей МО рассчитывается без учета таких показателей.</w:t>
      </w:r>
    </w:p>
    <w:p w14:paraId="47743641" w14:textId="77777777" w:rsidR="00C040E4" w:rsidRPr="00C040E4" w:rsidRDefault="00A65CCF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11.</w:t>
      </w:r>
      <w:r w:rsidR="00115D6B" w:rsidRPr="00115D6B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</w:t>
      </w:r>
      <w:r w:rsidR="00C040E4" w:rsidRPr="00C040E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года.</w:t>
      </w:r>
      <w:r w:rsidR="00C040E4"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43FA9B34" w14:textId="45B19443" w:rsidR="00C040E4" w:rsidRPr="00390B30" w:rsidRDefault="00C040E4" w:rsidP="00390B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noBreakHyphen/>
        <w:t xml:space="preserve"> ноябрь текущего года (включительно) и включаются в счет за ноябрь.</w:t>
      </w:r>
    </w:p>
    <w:p w14:paraId="47F61AC3" w14:textId="71FAAB15" w:rsidR="00A65CCF" w:rsidRDefault="00C040E4" w:rsidP="00390B30">
      <w:pPr>
        <w:widowControl w:val="0"/>
        <w:autoSpaceDE w:val="0"/>
        <w:autoSpaceDN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12. </w:t>
      </w:r>
      <w:r w:rsidR="00A65C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достижения целевых значений показателей результативности деятельности МО проводится Комиссией, но не чаще одного раза в квартал.</w:t>
      </w:r>
    </w:p>
    <w:sectPr w:rsidR="00A65CCF" w:rsidSect="00C87BDF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9E"/>
    <w:rsid w:val="00115D6B"/>
    <w:rsid w:val="00116117"/>
    <w:rsid w:val="001711F0"/>
    <w:rsid w:val="0018704D"/>
    <w:rsid w:val="001E6F0D"/>
    <w:rsid w:val="00310D7E"/>
    <w:rsid w:val="00390B30"/>
    <w:rsid w:val="00474F98"/>
    <w:rsid w:val="004D269E"/>
    <w:rsid w:val="004D7B2A"/>
    <w:rsid w:val="00562F6E"/>
    <w:rsid w:val="005878DC"/>
    <w:rsid w:val="00752341"/>
    <w:rsid w:val="007E733C"/>
    <w:rsid w:val="00925E0B"/>
    <w:rsid w:val="00A65CCF"/>
    <w:rsid w:val="00B37B2E"/>
    <w:rsid w:val="00B6773B"/>
    <w:rsid w:val="00C040E4"/>
    <w:rsid w:val="00C67BF5"/>
    <w:rsid w:val="00C87BDF"/>
    <w:rsid w:val="00E53254"/>
    <w:rsid w:val="00F354F7"/>
    <w:rsid w:val="00F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E11B"/>
  <w15:chartTrackingRefBased/>
  <w15:docId w15:val="{A33C4395-D1DF-4737-8FF4-8E8E8C6E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Артыш Кызыл-оол</dc:creator>
  <cp:keywords/>
  <dc:description/>
  <cp:lastModifiedBy>Онермаа Монгуш</cp:lastModifiedBy>
  <cp:revision>14</cp:revision>
  <dcterms:created xsi:type="dcterms:W3CDTF">2022-01-28T04:53:00Z</dcterms:created>
  <dcterms:modified xsi:type="dcterms:W3CDTF">2024-04-24T09:05:00Z</dcterms:modified>
</cp:coreProperties>
</file>