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BC33" w14:textId="39F39A0B" w:rsidR="00B255D2" w:rsidRDefault="00B255D2" w:rsidP="00B255D2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255D2">
        <w:rPr>
          <w:rStyle w:val="a4"/>
          <w:sz w:val="28"/>
          <w:szCs w:val="28"/>
          <w:bdr w:val="none" w:sz="0" w:space="0" w:color="auto" w:frame="1"/>
        </w:rPr>
        <w:t>Уважаемые соискатели лицензий и лицензиаты!</w:t>
      </w:r>
    </w:p>
    <w:p w14:paraId="516975F5" w14:textId="77777777" w:rsidR="00B255D2" w:rsidRPr="00B255D2" w:rsidRDefault="00B255D2" w:rsidP="00B255D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DF688FC" w14:textId="7FA22FB4" w:rsidR="00C87DCF" w:rsidRPr="00B255D2" w:rsidRDefault="00B255D2" w:rsidP="000A373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55D2">
        <w:rPr>
          <w:sz w:val="28"/>
          <w:szCs w:val="28"/>
        </w:rPr>
        <w:t>       </w:t>
      </w:r>
      <w:r w:rsidR="008B10BC" w:rsidRPr="008B10BC">
        <w:rPr>
          <w:sz w:val="28"/>
          <w:szCs w:val="28"/>
        </w:rPr>
        <w:t>В соответствии с требованиями постановления Правительства Российской Федерации от 23.12.2023 № 2269 «О внесении изменений в постановление Правительства Российской Федерации от 12 марта 2022 г. № 353», оплата государственной пошлины в рамках оказания государственных услуг за предоставление лицензии, внесение изменений в реестр лицензий по заявлениям, поданным с 01 января 2024 года по 31 декабря 2029 года, не требуется!</w:t>
      </w:r>
      <w:bookmarkStart w:id="0" w:name="_GoBack"/>
      <w:bookmarkEnd w:id="0"/>
    </w:p>
    <w:sectPr w:rsidR="00C87DCF" w:rsidRPr="00B2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F3"/>
    <w:rsid w:val="000A3731"/>
    <w:rsid w:val="008B10BC"/>
    <w:rsid w:val="00B255D2"/>
    <w:rsid w:val="00C87DCF"/>
    <w:rsid w:val="00F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2EDD"/>
  <w15:chartTrackingRefBased/>
  <w15:docId w15:val="{2B9BA747-23C5-4802-A5C8-39B75D7A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2024-01-15T05:12:00Z</dcterms:created>
  <dcterms:modified xsi:type="dcterms:W3CDTF">2024-03-18T09:11:00Z</dcterms:modified>
</cp:coreProperties>
</file>