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AC1" w:rsidRPr="003C657F" w:rsidRDefault="00252733" w:rsidP="001B6AC1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Исполнение</w:t>
      </w:r>
      <w:r w:rsidR="001B6AC1" w:rsidRPr="003C65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плана</w:t>
      </w:r>
    </w:p>
    <w:p w:rsidR="001B6AC1" w:rsidRDefault="001B6AC1" w:rsidP="001B6AC1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3C65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C657F">
        <w:rPr>
          <w:rFonts w:ascii="Times New Roman" w:hAnsi="Times New Roman"/>
          <w:sz w:val="28"/>
          <w:szCs w:val="28"/>
        </w:rPr>
        <w:t>реализации</w:t>
      </w:r>
      <w:proofErr w:type="gramEnd"/>
      <w:r w:rsidRPr="003C657F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Тыва </w:t>
      </w:r>
    </w:p>
    <w:p w:rsidR="001B6AC1" w:rsidRPr="003C657F" w:rsidRDefault="001B6AC1" w:rsidP="001B6AC1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3C657F">
        <w:rPr>
          <w:rFonts w:ascii="Times New Roman" w:hAnsi="Times New Roman"/>
          <w:sz w:val="28"/>
          <w:szCs w:val="28"/>
        </w:rPr>
        <w:t>«Развитие здравоохранения на 2018-2025 годы»</w:t>
      </w:r>
    </w:p>
    <w:p w:rsidR="001B6AC1" w:rsidRPr="001B1A30" w:rsidRDefault="001B1A30" w:rsidP="001B6AC1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 w:rsidRPr="001B1A30">
        <w:rPr>
          <w:rFonts w:ascii="Times New Roman" w:hAnsi="Times New Roman"/>
          <w:b/>
          <w:sz w:val="28"/>
          <w:szCs w:val="28"/>
        </w:rPr>
        <w:t xml:space="preserve">За </w:t>
      </w:r>
      <w:r w:rsidR="006705EB">
        <w:rPr>
          <w:rFonts w:ascii="Times New Roman" w:hAnsi="Times New Roman"/>
          <w:b/>
          <w:sz w:val="28"/>
          <w:szCs w:val="28"/>
        </w:rPr>
        <w:t>5</w:t>
      </w:r>
      <w:r w:rsidR="00B8749A">
        <w:rPr>
          <w:rFonts w:ascii="Times New Roman" w:hAnsi="Times New Roman"/>
          <w:b/>
          <w:sz w:val="28"/>
          <w:szCs w:val="28"/>
        </w:rPr>
        <w:t xml:space="preserve"> мес.</w:t>
      </w:r>
      <w:r w:rsidRPr="001B1A30">
        <w:rPr>
          <w:rFonts w:ascii="Times New Roman" w:hAnsi="Times New Roman"/>
          <w:b/>
          <w:sz w:val="28"/>
          <w:szCs w:val="28"/>
        </w:rPr>
        <w:t xml:space="preserve"> 2020 года</w:t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1041"/>
        <w:gridCol w:w="4624"/>
        <w:gridCol w:w="2910"/>
        <w:gridCol w:w="6446"/>
      </w:tblGrid>
      <w:tr w:rsidR="001B1A30" w:rsidRPr="001B1A30" w:rsidTr="001B1A30">
        <w:trPr>
          <w:trHeight w:val="300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Наименование подпрограммы (проекта)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Сроки наступления контрольного события (дата)</w:t>
            </w:r>
          </w:p>
        </w:tc>
        <w:tc>
          <w:tcPr>
            <w:tcW w:w="6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Результат реализации мероприятия </w:t>
            </w:r>
          </w:p>
        </w:tc>
      </w:tr>
      <w:tr w:rsidR="001B1A30" w:rsidRPr="001B1A30" w:rsidTr="001B1A30">
        <w:trPr>
          <w:trHeight w:val="300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B1A30" w:rsidRPr="001B1A30" w:rsidTr="001B1A30">
        <w:trPr>
          <w:trHeight w:val="795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1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</w:tr>
      <w:tr w:rsidR="001B1A30" w:rsidRPr="001B1A30" w:rsidTr="001B1A30">
        <w:trPr>
          <w:trHeight w:val="15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</w:t>
            </w:r>
            <w:r>
              <w:rPr>
                <w:rFonts w:ascii="Times New Roman" w:eastAsia="Times New Roman" w:hAnsi="Times New Roman"/>
                <w:lang w:eastAsia="ru-RU"/>
              </w:rPr>
              <w:t>ии с Федеральным законом от 17 с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>ентября 1998 года № 157-ФЗ "Об иммунопрофилактике инфекционных болезней"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30" w:rsidRPr="001B1A30" w:rsidRDefault="001B1A30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30" w:rsidRPr="001B1A30" w:rsidRDefault="00237716" w:rsidP="001B1A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="00D77D20" w:rsidRPr="00D77D20">
              <w:rPr>
                <w:rFonts w:ascii="Times New Roman" w:eastAsia="Times New Roman" w:hAnsi="Times New Roman"/>
                <w:lang w:eastAsia="ru-RU"/>
              </w:rPr>
              <w:t>лучаев поствакцинальных осложнений не выявлено.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Проведение диспансеризации определенных групп взрослого населения Республики Тыва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3A1909" w:rsidRDefault="00C36726" w:rsidP="006705EB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проведена диспансеризация определенных групп взрослого населения 1 этап </w:t>
            </w:r>
            <w:r w:rsidR="006705EB">
              <w:rPr>
                <w:rFonts w:ascii="Times New Roman" w:hAnsi="Times New Roman" w:cs="Times New Roman"/>
                <w:sz w:val="24"/>
                <w:szCs w:val="24"/>
              </w:rPr>
              <w:t>8908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случаев, 2 этап </w:t>
            </w:r>
            <w:r w:rsidR="006705EB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случаев. Всего процент выполнения составил </w:t>
            </w:r>
            <w:r w:rsidR="006705EB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% от годового плана (годовой план – 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35440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случаев).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диспансеризации население Республики Тыва (для детей)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3A1909" w:rsidRDefault="00C36726" w:rsidP="006705E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проведена диспансеризация детей-сирот и детей, находящихся в трудной жизненной ситуации </w:t>
            </w:r>
            <w:r w:rsidR="006705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случаев, процент выполнения составил </w:t>
            </w:r>
            <w:r w:rsidR="006705EB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% от плана (план – 1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случаев). Также проведена диспансеризация детей-сирот и дети, оставшихся без попечения родителей </w:t>
            </w:r>
            <w:r w:rsidR="006705E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случаев, процент выполнения составил </w:t>
            </w:r>
            <w:r w:rsidR="006705E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 w:rsidR="003A1909"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% от плана (план – 3084</w:t>
            </w: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 случаев).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осмотров в Центре здоровья (для взрослых)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F9567E" w:rsidRDefault="006705EB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05EB">
              <w:rPr>
                <w:rFonts w:ascii="Times New Roman" w:hAnsi="Times New Roman" w:cs="Times New Roman"/>
                <w:sz w:val="24"/>
                <w:szCs w:val="24"/>
              </w:rPr>
              <w:t>За отчетный период проведено в ГБУЗ РТ "Республиканском центре медицинской профилактики» осмотров на сумму 3255,8 тыс. руб. (1363 посещений) или 24,7 % исполнения от годового план.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осмотров в Центре здоровья (для детей)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F9567E" w:rsidRDefault="000F0369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0369">
              <w:rPr>
                <w:rFonts w:ascii="Times New Roman" w:hAnsi="Times New Roman" w:cs="Times New Roman"/>
                <w:sz w:val="24"/>
                <w:szCs w:val="24"/>
              </w:rPr>
              <w:t>За отчетный период проведено в ГБУЗ РТ "Республиканский центр восстановительной медицины и реабилитации для детей" осмотров на сумму 2808,7 тыс. руб. (1840 посещений) или 27,8 % исполнения от годового плана.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профилактических медицинских осмотров (для взрослых)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3A1909" w:rsidRDefault="003A1909" w:rsidP="000F0369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медицинские осмотры проведены </w:t>
            </w:r>
            <w:r w:rsidR="000F0369">
              <w:rPr>
                <w:rFonts w:ascii="Times New Roman" w:hAnsi="Times New Roman" w:cs="Times New Roman"/>
                <w:sz w:val="24"/>
                <w:szCs w:val="24"/>
              </w:rPr>
              <w:t>3351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случаев, процент исполнения составил </w:t>
            </w:r>
            <w:r w:rsidR="000F03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от годового плана (план – 16743).</w:t>
            </w:r>
          </w:p>
        </w:tc>
      </w:tr>
      <w:tr w:rsidR="003A1909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09" w:rsidRPr="001B1A30" w:rsidRDefault="003A1909" w:rsidP="003A1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1.7.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09" w:rsidRPr="001B1A30" w:rsidRDefault="003A1909" w:rsidP="003A19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профилактических медицинских осмотров (для детей)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909" w:rsidRPr="001B1A30" w:rsidRDefault="003A1909" w:rsidP="003A19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909" w:rsidRPr="003A1909" w:rsidRDefault="003A1909" w:rsidP="000F0369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A1909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ТФОМС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медицинские осмотры детей проведены </w:t>
            </w:r>
            <w:r w:rsidR="000F0369">
              <w:rPr>
                <w:rFonts w:ascii="Times New Roman" w:hAnsi="Times New Roman" w:cs="Times New Roman"/>
                <w:sz w:val="24"/>
                <w:szCs w:val="24"/>
              </w:rPr>
              <w:t>14571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случаев, процент исполнения составил </w:t>
            </w:r>
            <w:r w:rsidR="000F0369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от годового плана (план – 55521).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1.8.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неотложной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0F0369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369">
              <w:rPr>
                <w:rFonts w:ascii="Times New Roman" w:hAnsi="Times New Roman" w:cs="Times New Roman"/>
                <w:sz w:val="24"/>
                <w:szCs w:val="24"/>
              </w:rPr>
              <w:t>По неотложной медицинской помощи за отчетный период выполнено на сумму 78398,2 тыс. руб. (59886 случаев) выполнение от годового плана 41,7 %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1.9.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медицинской помощи в амбулаторно-поликлиническом звене (обращение)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0F0369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369">
              <w:rPr>
                <w:rFonts w:ascii="Times New Roman" w:hAnsi="Times New Roman" w:cs="Times New Roman"/>
                <w:sz w:val="24"/>
                <w:szCs w:val="24"/>
              </w:rPr>
              <w:t>Обращение по заболеваниям выполнено за отчетный период на сумму - 448332,7 тыс. руб., (152478 случая) выполнение от годового плана составляет - 32,6 %.</w:t>
            </w:r>
          </w:p>
        </w:tc>
      </w:tr>
      <w:tr w:rsidR="00C36726" w:rsidRPr="001B1A30" w:rsidTr="007E4CB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1.10.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первичной медико-санитарной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4E38CF" w:rsidP="00C36726">
            <w:pPr>
              <w:pStyle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E38CF">
              <w:rPr>
                <w:rFonts w:ascii="Times New Roman" w:hAnsi="Times New Roman" w:cs="Times New Roman"/>
                <w:sz w:val="24"/>
                <w:szCs w:val="24"/>
              </w:rPr>
              <w:t>Профилактические посещение за отчетный период выполнено на сумму 101591,6 тыс. рублей (273401 посещений) или 29,6 % исполнения от годового плана</w:t>
            </w:r>
          </w:p>
        </w:tc>
      </w:tr>
      <w:tr w:rsidR="00C36726" w:rsidRPr="001B1A30" w:rsidTr="00610DEE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Совершенствование медицинской эвакуации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726" w:rsidRPr="000D0EBD" w:rsidRDefault="004E38CF" w:rsidP="00C36726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38CF">
              <w:rPr>
                <w:rFonts w:ascii="Times New Roman" w:hAnsi="Times New Roman"/>
                <w:sz w:val="24"/>
                <w:szCs w:val="24"/>
              </w:rPr>
              <w:t xml:space="preserve">По медицинской эвакуации (по наземному эвакуации) обслужено на сумму 3002,8 тыс. руб., (149 вызова) или 27,2 </w:t>
            </w:r>
            <w:proofErr w:type="gramStart"/>
            <w:r w:rsidRPr="004E38CF">
              <w:rPr>
                <w:rFonts w:ascii="Times New Roman" w:hAnsi="Times New Roman"/>
                <w:sz w:val="24"/>
                <w:szCs w:val="24"/>
              </w:rPr>
              <w:t>%  исполнения</w:t>
            </w:r>
            <w:proofErr w:type="gram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от годового плана, из них: ГБУЗ РТ "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Барун-Хечикский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ММЦ" - 192,5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(5 случая), ГБУЗ РТ Республиканская детская больница" - 495,1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(22 вызовов), ГБУЗ РТ "Перинатальный центр" - 473,9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(18 вызова), ГБУЗ РТ "Республиканский центр скорой медицинской помощи и медицины катастроф" - 1841,3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(104вызова).</w:t>
            </w:r>
          </w:p>
        </w:tc>
      </w:tr>
      <w:tr w:rsidR="00C36726" w:rsidRPr="001B1A30" w:rsidTr="003C66F8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скорой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95" w:rsidRPr="00080E36" w:rsidRDefault="004E38CF" w:rsidP="00DA3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38CF">
              <w:rPr>
                <w:rFonts w:ascii="Times New Roman" w:hAnsi="Times New Roman"/>
                <w:sz w:val="24"/>
                <w:szCs w:val="24"/>
              </w:rPr>
              <w:t>За отчетный период обслужено на сумму 194649,3 тыс. рублей, 48,2 %, в том числе: ГБУЗ РТ "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Барун-Хемчикский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межкожуунный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медицинский центр" - 26966,8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>. (2433 вызова), ГБУЗ РТ «Бай-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Тайгинская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- 8545,8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(901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Дзун-Хемчикская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lastRenderedPageBreak/>
              <w:t>межкожунный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медицинский центр» - 7499,0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(1651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Каа-Хемская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- 10018,1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(761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Монгун-Тайгинская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- 6291,0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>. (640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Овюрская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- 5142,6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>. (723 вызова), ГБУЗ РТ «Пий-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Хемская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- 20938,7 тыс. руб. (982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Сут-Хольская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- 10911,5 руб. (774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Тандинская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- 4294,9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>. (1005 вызова) , ГБУЗ РТ «Тес-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Хемская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- 4363,3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(682 вызова).,  ГБУЗ РТ "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Тере-Хольская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ЦКБ" - 1362,7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>. (161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Тоджинская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- 1935,0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>. (308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Улуг-Хемский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межкожуунный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медицинский центр» -  6418,8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>. (1090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Чаа-Хольская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 4072,7 тыс. руб. (542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Чеди-Хольская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- 1780,2 тыс. руб.(626 вызова), ГБУЗ РТ «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Эрзинская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ЦКБ» - 8117,0 тыс. руб.(625 вызова), ГБУЗ РТ "Республиканский центр скорой медицинской помощи и медицины катастроф" - 65991,1 </w:t>
            </w:r>
            <w:proofErr w:type="spellStart"/>
            <w:r w:rsidRPr="004E38CF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spellEnd"/>
            <w:r w:rsidRPr="004E38CF">
              <w:rPr>
                <w:rFonts w:ascii="Times New Roman" w:hAnsi="Times New Roman"/>
                <w:sz w:val="24"/>
                <w:szCs w:val="24"/>
              </w:rPr>
              <w:t xml:space="preserve"> (17822 вызова).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1.13.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высокотехнологичной медицинской помощи по профилю неонатология в ГБУЗ РТ "Перинатальный центр РТ"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4E38CF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38CF">
              <w:rPr>
                <w:rFonts w:ascii="Times New Roman" w:eastAsia="Times New Roman" w:hAnsi="Times New Roman"/>
                <w:lang w:eastAsia="ru-RU"/>
              </w:rPr>
              <w:t>Оказано по высокотехнологической медицинской помощи по профилю "Неонатология" на сумму 14284,8 тыс. рублей (49 случая) на базе ГБУЗ РТ "Перинатальный центр", выполнение от годового плана 35,4 %.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высокотехнологичной медицинской помощи по профилю акушерство и гинекология в ГБУЗ РТ "Перинатальный центр РТ"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4E38CF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38CF">
              <w:rPr>
                <w:rFonts w:ascii="Times New Roman" w:eastAsia="Times New Roman" w:hAnsi="Times New Roman"/>
                <w:lang w:eastAsia="ru-RU"/>
              </w:rPr>
              <w:t>Оказано по высокотехнологической медицинской помощи по профилю "Акушерство и гинекология" на сумму 3830,0 тыс. рублей (20 случаев) на базе ГБУЗ РТ "Перинатальный центр", выполнение годового плана 37,1 %.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Обеспечение проведения процедуры ЭКО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4E38CF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38CF">
              <w:rPr>
                <w:rFonts w:ascii="Times New Roman" w:eastAsia="Times New Roman" w:hAnsi="Times New Roman"/>
                <w:lang w:eastAsia="ru-RU"/>
              </w:rPr>
              <w:t>Проведены 9 случая процедур на экстракорпоральное оплодотворение на сумму 859,9 тыс. рублей или 4 % исполнения от годового плана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1.16.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4E38CF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38CF">
              <w:rPr>
                <w:rFonts w:ascii="Times New Roman" w:eastAsia="Times New Roman" w:hAnsi="Times New Roman"/>
                <w:lang w:eastAsia="ru-RU"/>
              </w:rPr>
              <w:t>Оказано по высокотехнологической медицинской помощи на сумму 74615,7 тыс. рублей (382 случаев) на базе Республиканской больницы № 1, выполнение годового плана 54,9 %.</w:t>
            </w:r>
          </w:p>
        </w:tc>
      </w:tr>
      <w:tr w:rsidR="00C3672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Обеспечение питанием беременных женщин, кормящих матерей и детей до 3-х лет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26" w:rsidRPr="001B1A30" w:rsidRDefault="00C3672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726" w:rsidRPr="001B1A30" w:rsidRDefault="00080E36" w:rsidP="00C3672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80E36">
              <w:rPr>
                <w:rFonts w:ascii="Times New Roman" w:eastAsia="Times New Roman" w:hAnsi="Times New Roman"/>
                <w:lang w:eastAsia="ru-RU"/>
              </w:rPr>
              <w:t>Произведена оплата по 2 договорам, заключенные в 2019 году за поставленную продукцию (молоко) на сумму 74 704,00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1.22.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Обеспечения необходимыми лекарственными препаратами 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4E38C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медицинские организации республики обратились </w:t>
            </w:r>
            <w:r w:rsidR="004E38CF">
              <w:rPr>
                <w:rFonts w:ascii="Times New Roman" w:eastAsia="Times New Roman" w:hAnsi="Times New Roman"/>
                <w:lang w:eastAsia="ru-RU"/>
              </w:rPr>
              <w:t>5068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льготников территориального регистра, им выписано </w:t>
            </w:r>
            <w:r w:rsidR="004E38CF">
              <w:rPr>
                <w:rFonts w:ascii="Times New Roman" w:eastAsia="Times New Roman" w:hAnsi="Times New Roman"/>
                <w:lang w:eastAsia="ru-RU"/>
              </w:rPr>
              <w:t>10982</w:t>
            </w:r>
            <w:r w:rsidR="00BE50DE">
              <w:rPr>
                <w:rFonts w:ascii="Times New Roman" w:eastAsia="Times New Roman" w:hAnsi="Times New Roman"/>
                <w:lang w:eastAsia="ru-RU"/>
              </w:rPr>
              <w:t xml:space="preserve"> рецепта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на бесплатные лекарственные препараты, аптечными организациями обслужено </w:t>
            </w:r>
            <w:r w:rsidR="004E38CF">
              <w:rPr>
                <w:rFonts w:ascii="Times New Roman" w:eastAsia="Times New Roman" w:hAnsi="Times New Roman"/>
                <w:lang w:eastAsia="ru-RU"/>
              </w:rPr>
              <w:t>10822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рецептов на общую сумму </w:t>
            </w:r>
            <w:r w:rsidR="004E38CF">
              <w:rPr>
                <w:rFonts w:ascii="Times New Roman" w:eastAsia="Times New Roman" w:hAnsi="Times New Roman"/>
                <w:lang w:eastAsia="ru-RU"/>
              </w:rPr>
              <w:t>43 774 375,92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 Средняя стоимость одного рецепта составил </w:t>
            </w:r>
            <w:r w:rsidR="004E38CF">
              <w:rPr>
                <w:rFonts w:ascii="Times New Roman" w:eastAsia="Times New Roman" w:hAnsi="Times New Roman"/>
                <w:lang w:eastAsia="ru-RU"/>
              </w:rPr>
              <w:t>4 044,94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 руб.</w:t>
            </w:r>
          </w:p>
        </w:tc>
      </w:tr>
      <w:tr w:rsidR="00875236" w:rsidRPr="001B1A30" w:rsidTr="005F5CA5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бюджетным учреждениям </w:t>
            </w:r>
            <w:r w:rsidR="004E38CF" w:rsidRPr="001B1A30">
              <w:rPr>
                <w:rFonts w:ascii="Times New Roman" w:eastAsia="Times New Roman" w:hAnsi="Times New Roman"/>
                <w:lang w:eastAsia="ru-RU"/>
              </w:rPr>
              <w:t>здравоохранения по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оказанию медицинской помощи в дневном стационаре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236" w:rsidRPr="00CB49BD" w:rsidRDefault="004E38CF" w:rsidP="004E38CF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8CF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периоде в медицинские организации направлены финансовые средства на общую сумму 6 822 071,11 руб. за счет средств республиканского бюджета для приобретения расходных материалов, в том числе: Противотуберкулезный диспансер - 4 606 156,11 руб., </w:t>
            </w:r>
            <w:proofErr w:type="spellStart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>Рескожвендиспансер</w:t>
            </w:r>
            <w:proofErr w:type="spellEnd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 xml:space="preserve"> - 1 553 375,00 руб., </w:t>
            </w:r>
            <w:proofErr w:type="spellStart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>Реснаркодиспансер</w:t>
            </w:r>
            <w:proofErr w:type="spellEnd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 xml:space="preserve"> - 482 540,00 руб., </w:t>
            </w:r>
            <w:proofErr w:type="spellStart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>Респсихбольница</w:t>
            </w:r>
            <w:proofErr w:type="spellEnd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 xml:space="preserve"> - 180 000,00 руб.  За счет средств </w:t>
            </w:r>
            <w:proofErr w:type="gramStart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>ОМС  оказана</w:t>
            </w:r>
            <w:proofErr w:type="gramEnd"/>
            <w:r w:rsidRPr="004E38CF">
              <w:rPr>
                <w:rFonts w:ascii="Times New Roman" w:hAnsi="Times New Roman" w:cs="Times New Roman"/>
                <w:sz w:val="24"/>
                <w:szCs w:val="24"/>
              </w:rPr>
              <w:t xml:space="preserve"> помощь на сумму 152697,5 тыс. рублей или 26,3% исполнения от годового плана.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бюджетным учреждениям </w:t>
            </w:r>
            <w:r w:rsidR="004E38CF" w:rsidRPr="001B1A30">
              <w:rPr>
                <w:rFonts w:ascii="Times New Roman" w:eastAsia="Times New Roman" w:hAnsi="Times New Roman"/>
                <w:lang w:eastAsia="ru-RU"/>
              </w:rPr>
              <w:t>здравоохранения (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>ГБУЗ РТ "Противотуберкулезный санаторий Балгазын")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CF514E" w:rsidP="000B1E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санаторий «Балгазын» имеется 150 коек, поступило 66 чел., пролечено 77 пациентов, ими проведено 7943 койко-дней.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бюджетным учреждениям </w:t>
            </w:r>
            <w:r w:rsidR="004E38CF" w:rsidRPr="001B1A30">
              <w:rPr>
                <w:rFonts w:ascii="Times New Roman" w:eastAsia="Times New Roman" w:hAnsi="Times New Roman"/>
                <w:lang w:eastAsia="ru-RU"/>
              </w:rPr>
              <w:t>здравоохранения (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>ГБУЗ РТ "Станция переливания крови")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2A324C" w:rsidRDefault="00BE50DE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324C">
              <w:rPr>
                <w:rFonts w:ascii="Times New Roman" w:eastAsia="Times New Roman" w:hAnsi="Times New Roman"/>
                <w:lang w:eastAsia="ru-RU"/>
              </w:rPr>
              <w:t>Заготовлено</w:t>
            </w:r>
            <w:r w:rsidR="00875236" w:rsidRPr="002A324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A324C" w:rsidRPr="002A324C">
              <w:rPr>
                <w:rFonts w:ascii="Times New Roman" w:eastAsia="Times New Roman" w:hAnsi="Times New Roman"/>
                <w:lang w:eastAsia="ru-RU"/>
              </w:rPr>
              <w:t xml:space="preserve">547,455 </w:t>
            </w:r>
            <w:r w:rsidR="00875236" w:rsidRPr="002A324C">
              <w:rPr>
                <w:rFonts w:ascii="Times New Roman" w:eastAsia="Times New Roman" w:hAnsi="Times New Roman"/>
                <w:lang w:eastAsia="ru-RU"/>
              </w:rPr>
              <w:t>литров крови и ее компонентов.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C6CA7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В течение отчетного периода на содержание подведомственному учреждению Минздрава РТ ГБУЗ РТ "Дом ребенка" профинансирована на сумму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22 520 929,68</w:t>
            </w:r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 руб.  (</w:t>
            </w:r>
            <w:proofErr w:type="gramStart"/>
            <w:r w:rsidRPr="00BC6CA7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BC6CA7">
              <w:rPr>
                <w:rFonts w:ascii="Times New Roman" w:eastAsia="Times New Roman" w:hAnsi="Times New Roman"/>
                <w:lang w:eastAsia="ru-RU"/>
              </w:rPr>
              <w:t>оммунальные услуги, материальные запасы, заработная плата, налоги и др. статьи).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1.27.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В отчетном периоде на содержание подведомственных учреждений Минздрава РТ (прочие учреждения) направлены 173 256 811,34 руб., в том числе: ГБУЗ РТ «Бюро судебно-медицинской экспертизы» - 27 373 839,54 руб., ГБУЗ РТ «Республиканский Центр по профилактике и борьбе со СПИД и инфекционными заболеваниями»  - 20 614 417,68 руб.,  ГБУЗ РТ "Республиканская больница № 1" (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Паталогоанатомическое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бюро) - 500 000,00 руб., ГБУЗ РТ «Республиканский центр восстановительной медицины и реабилитации для детей» - 7 737 868,00 руб., ГБУЗ РТ «Республиканский центр медицинской профилактики» - 13 138 895,56 руб., ГБУ РТ «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» - 24 </w:t>
            </w:r>
            <w:r w:rsidRPr="005F651A">
              <w:rPr>
                <w:rFonts w:ascii="Times New Roman" w:eastAsia="Times New Roman" w:hAnsi="Times New Roman"/>
                <w:lang w:eastAsia="ru-RU"/>
              </w:rPr>
              <w:lastRenderedPageBreak/>
              <w:t>456 031,01 руб., ГБУЗ «Медицинский информационно-аналитический центр Республики Тыва» - 28 601 380,00 руб., ГБУ РТ «Учреждение по административно-хозяйственному обеспечению учреждений здравоохранения Республики Тыва» - 27 212 581,64 руб., ГБУ «Научно-исследовательский институт медико-социальных проблем и управления Республики Тыва» - 6 245 211,30 руб., ГБУЗ РТ «Республиканский центр скорой медицинской помощи и медицины катастроф» - 7 001 768,94 руб., ГБУЗ РТ «Санаторий-профилакторий «Серебрянка» - 10 374 816,67 руб.</w:t>
            </w:r>
          </w:p>
        </w:tc>
      </w:tr>
      <w:tr w:rsidR="00875236" w:rsidRPr="001B1A30" w:rsidTr="007E23CF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1.28.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236" w:rsidRPr="005F76E2" w:rsidRDefault="005F651A" w:rsidP="005F76E2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51A">
              <w:rPr>
                <w:rFonts w:ascii="Times New Roman" w:hAnsi="Times New Roman" w:cs="Times New Roman"/>
                <w:sz w:val="24"/>
                <w:szCs w:val="24"/>
              </w:rPr>
              <w:t>В отчетном периоде на содержание подведомственных учреждений Минздрава РТ (стационаров) направлены 380 397 317,68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1.29.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AF37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За отчетный период направлены финансовые средства в медицинские организации на общую сумму 12 171 350,00руб., в том числе: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Ресонкодиспансер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- 6 434 248,00 руб.,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Улуг-Хемский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ММЦ - 3 796 150,00 руб. и Республиканская детская больница - 1 940 952,00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1.30.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на закупку оборудования и расходных материалов для неонатального и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аудиологического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скрининга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Всего за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5</w:t>
            </w: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 мес. 2020 г. первично обследовано </w:t>
            </w:r>
            <w:r w:rsidR="00F647BF">
              <w:rPr>
                <w:rFonts w:ascii="Times New Roman" w:eastAsia="Times New Roman" w:hAnsi="Times New Roman"/>
                <w:lang w:eastAsia="ru-RU"/>
              </w:rPr>
              <w:t>2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570</w:t>
            </w: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 детей на адреногенитальный синдром,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муковисцидоз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галактоземию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фенилкетонурию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>, врожденный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Централизованные расходы на </w:t>
            </w:r>
            <w:r w:rsidR="00721803" w:rsidRPr="001B1A30">
              <w:rPr>
                <w:rFonts w:ascii="Times New Roman" w:eastAsia="Times New Roman" w:hAnsi="Times New Roman"/>
                <w:lang w:eastAsia="ru-RU"/>
              </w:rPr>
              <w:t>приобретение медицинского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оборудования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BC6CA7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6CA7">
              <w:rPr>
                <w:rFonts w:ascii="Times New Roman" w:eastAsia="Times New Roman" w:hAnsi="Times New Roman"/>
                <w:lang w:eastAsia="ru-RU"/>
              </w:rPr>
              <w:t xml:space="preserve">На 2020 год запланировано приобретение медицинского оборудования на сумму 24 260,0 тыс. руб. </w:t>
            </w:r>
            <w:r w:rsidR="00F647BF" w:rsidRPr="00F647BF">
              <w:rPr>
                <w:rFonts w:ascii="Times New Roman" w:eastAsia="Times New Roman" w:hAnsi="Times New Roman"/>
                <w:lang w:eastAsia="ru-RU"/>
              </w:rPr>
              <w:t>Произведена оплата на сумму 5 230 000,00 руб.</w:t>
            </w:r>
            <w:r w:rsidR="00F647BF">
              <w:rPr>
                <w:rFonts w:ascii="Times New Roman" w:eastAsia="Times New Roman" w:hAnsi="Times New Roman"/>
                <w:lang w:eastAsia="ru-RU"/>
              </w:rPr>
              <w:t xml:space="preserve"> за поставленное оборудование.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F651A" w:rsidRPr="005F651A">
              <w:rPr>
                <w:rFonts w:ascii="Times New Roman" w:eastAsia="Times New Roman" w:hAnsi="Times New Roman"/>
                <w:lang w:eastAsia="ru-RU"/>
              </w:rPr>
              <w:t>Произведена оплата по исполнительному листу на сумму 10 000,00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Централизованные расходы на текущий ремонт и приобретение строительных материалов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Произведена оплата по кредиторской задолженности за договора, заключенные в 2019 году на проведение технического обслуживания зданий центральных </w:t>
            </w:r>
            <w:proofErr w:type="spellStart"/>
            <w:r w:rsidRPr="001F28F8">
              <w:rPr>
                <w:rFonts w:ascii="Times New Roman" w:eastAsia="Times New Roman" w:hAnsi="Times New Roman"/>
                <w:lang w:eastAsia="ru-RU"/>
              </w:rPr>
              <w:t>кожуунных</w:t>
            </w:r>
            <w:proofErr w:type="spellEnd"/>
            <w:r w:rsidRPr="001F28F8">
              <w:rPr>
                <w:rFonts w:ascii="Times New Roman" w:eastAsia="Times New Roman" w:hAnsi="Times New Roman"/>
                <w:lang w:eastAsia="ru-RU"/>
              </w:rPr>
              <w:t xml:space="preserve"> больниц и на приобретение строительных материалов на общую сумму 1 430 260,62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5</w:t>
            </w:r>
            <w:r w:rsidR="00307A19">
              <w:rPr>
                <w:rFonts w:ascii="Times New Roman" w:eastAsia="Times New Roman" w:hAnsi="Times New Roman"/>
                <w:lang w:eastAsia="ru-RU"/>
              </w:rPr>
              <w:t xml:space="preserve"> мес.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2020 г. оказана высокотехнологичная медицинская помощь </w:t>
            </w:r>
            <w:r w:rsidR="00307A19">
              <w:rPr>
                <w:rFonts w:ascii="Times New Roman" w:eastAsia="Times New Roman" w:hAnsi="Times New Roman"/>
                <w:lang w:eastAsia="ru-RU"/>
              </w:rPr>
              <w:t>217 чел., в том числе 111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детей. </w:t>
            </w:r>
            <w:r w:rsidR="00307A19">
              <w:rPr>
                <w:rFonts w:ascii="Times New Roman" w:eastAsia="Times New Roman" w:hAnsi="Times New Roman"/>
                <w:lang w:eastAsia="ru-RU"/>
              </w:rPr>
              <w:t>В листе ожидания находятся 891 чел., в том числе 172 детей.</w:t>
            </w:r>
          </w:p>
          <w:p w:rsidR="00875236" w:rsidRPr="001B1A30" w:rsidRDefault="00307A19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7A19">
              <w:rPr>
                <w:rFonts w:ascii="Times New Roman" w:eastAsia="Times New Roman" w:hAnsi="Times New Roman"/>
                <w:lang w:eastAsia="ru-RU"/>
              </w:rPr>
              <w:t xml:space="preserve">Произведена оплата по 129 заявлениям (123 чел.) за произведенные расходы на лечение за пределы республики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на сумму 2 211 445,12 рублей. 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1.34.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Централизованные расходы на приобретение медикаментов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Заключено 14 гос. </w:t>
            </w:r>
            <w:proofErr w:type="gramStart"/>
            <w:r w:rsidRPr="005F651A">
              <w:rPr>
                <w:rFonts w:ascii="Times New Roman" w:eastAsia="Times New Roman" w:hAnsi="Times New Roman"/>
                <w:lang w:eastAsia="ru-RU"/>
              </w:rPr>
              <w:t>контрактов  на</w:t>
            </w:r>
            <w:proofErr w:type="gram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 сумму 32 551 024,21  руб. и 2 договора на сумму281 326,30 руб. с 7 поставщиками. Поставлено на сумму 30 054 281,21 руб. Оплачено на сумму 30 054 281,21 руб.</w:t>
            </w:r>
          </w:p>
        </w:tc>
      </w:tr>
      <w:tr w:rsidR="00875236" w:rsidRPr="001B1A30" w:rsidTr="001B1A30">
        <w:trPr>
          <w:trHeight w:val="18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медицинские организации республики обратились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7083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льготников федерального регистра, им выписано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44747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рецептов на бесплатные лекарственные препараты, аптечными организациями обслужено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44315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рецептов на общую сумму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81 421 796,99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 Средняя стоимость одного рецепта составил 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1 837,34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На организационные мероприятия заключено 2 гос. контракта на услуги связи на общую сумму 50 000,00 руб., услуги интернете 1 договор на сумму 6 237, 23 руб. (оплата за 1 месяц). На услуги уполномоченного склада 1 гос. контракт с ГБУ РТ "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" на сумму 29 985 211,63 руб. Заключено 13 ГК на поставку лекарственных препаратов на сумму 14 648 296,50 руб. с 8 поставщиками. Заключен 3 ГК на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найм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автотранспорта на сумму 72 607,33 руб. Поставлено и оказаны услуги на сумму 29 743 912,08 руб. Произведена оплата на сумму 28 648 906,90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1.37.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2A462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Заключен 1 договор с ГБУЗ РТ "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" на сумму 192 382,60 руб. Заключен 6 ГК на сумму 807 609,60 руб. Поставлены наркотические препараты на сумму 861 120,00 руб. Произведена оплата на сумму 782 119,32 руб. Приобретено оборудование на сумму 2 108 677,00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1.38.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Заключено 4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госконтрактов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на сумму 14 052 309,26 руб. с 3 поставщиками на поставку диагностических средств, аллерген для выявления туберкулеза и регентов для определения ВИЧ-инфекции. Поставлено на сумму 5 738 658,48 руб. Оплачено - 5 398 057,70 руб.</w:t>
            </w:r>
          </w:p>
        </w:tc>
      </w:tr>
      <w:tr w:rsidR="00875236" w:rsidRPr="001B1A30" w:rsidTr="001B1A30">
        <w:trPr>
          <w:trHeight w:val="27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1.39.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муковисцидозом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гемолитико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мукополисахаридозом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E2E0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E00">
              <w:rPr>
                <w:rFonts w:ascii="Times New Roman" w:eastAsia="Times New Roman" w:hAnsi="Times New Roman"/>
                <w:lang w:eastAsia="ru-RU"/>
              </w:rPr>
              <w:t>Заключен государственный контракт на оказание услуг уполномоченного склада с ГБУ "</w:t>
            </w:r>
            <w:proofErr w:type="spellStart"/>
            <w:r w:rsidRPr="002E2E00">
              <w:rPr>
                <w:rFonts w:ascii="Times New Roman" w:eastAsia="Times New Roman" w:hAnsi="Times New Roman"/>
                <w:lang w:eastAsia="ru-RU"/>
              </w:rPr>
              <w:t>Ресфармация</w:t>
            </w:r>
            <w:proofErr w:type="spellEnd"/>
            <w:r w:rsidRPr="002E2E00">
              <w:rPr>
                <w:rFonts w:ascii="Times New Roman" w:eastAsia="Times New Roman" w:hAnsi="Times New Roman"/>
                <w:lang w:eastAsia="ru-RU"/>
              </w:rPr>
              <w:t>" на сумму 555 800,00 руб.  Произведена оплата на сумму 151 500 руб.</w:t>
            </w:r>
          </w:p>
        </w:tc>
      </w:tr>
      <w:tr w:rsidR="00875236" w:rsidRPr="001B1A30" w:rsidTr="001B1A30">
        <w:trPr>
          <w:trHeight w:val="12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1.40.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2018-2020гг.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A324C" w:rsidP="009C41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A324C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2A324C">
              <w:rPr>
                <w:rFonts w:ascii="Times New Roman" w:eastAsia="Times New Roman" w:hAnsi="Times New Roman"/>
                <w:lang w:eastAsia="ru-RU"/>
              </w:rPr>
              <w:t xml:space="preserve"> 2020 году запланировано оказание высокотехнологичная медицинская помощь 4 больным в ГБУЗ РТ "</w:t>
            </w:r>
            <w:r w:rsidR="009C413B" w:rsidRPr="002A324C">
              <w:rPr>
                <w:rFonts w:ascii="Times New Roman" w:eastAsia="Times New Roman" w:hAnsi="Times New Roman"/>
                <w:lang w:eastAsia="ru-RU"/>
              </w:rPr>
              <w:t>Республиканская</w:t>
            </w:r>
            <w:r w:rsidRPr="002A324C">
              <w:rPr>
                <w:rFonts w:ascii="Times New Roman" w:eastAsia="Times New Roman" w:hAnsi="Times New Roman"/>
                <w:lang w:eastAsia="ru-RU"/>
              </w:rPr>
              <w:t xml:space="preserve"> больница №1". Оказана высокотехнологичная медицинская помощь 2 больным по профилю сердечн</w:t>
            </w:r>
            <w:r w:rsidR="005F651A">
              <w:rPr>
                <w:rFonts w:ascii="Times New Roman" w:eastAsia="Times New Roman" w:hAnsi="Times New Roman"/>
                <w:lang w:eastAsia="ru-RU"/>
              </w:rPr>
              <w:t>о-сосудистая хирургия на сумму 8</w:t>
            </w:r>
            <w:r w:rsidRPr="002A324C">
              <w:rPr>
                <w:rFonts w:ascii="Times New Roman" w:eastAsia="Times New Roman" w:hAnsi="Times New Roman"/>
                <w:lang w:eastAsia="ru-RU"/>
              </w:rPr>
              <w:t>01 900,02 руб.</w:t>
            </w:r>
          </w:p>
        </w:tc>
      </w:tr>
      <w:tr w:rsidR="00875236" w:rsidRPr="001B1A30" w:rsidTr="001B1A30">
        <w:trPr>
          <w:trHeight w:val="6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5 "Развитие первичной медико-санитарной помощи"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2020-2022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15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1.41.1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Создание и замена фельдшерских, фельдшерско-акушерских пунктов и врачебных амбулаторий для населенных пунктов с численность населения от 100 до 2000 человек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2020-2022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1A" w:rsidRPr="005F651A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На 2020 год запланировано строительство 26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ФАПов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в 11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кожуунах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республики. Определены 12 подрядные организации и заключены государственные контракты на строительство 26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ФАПов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По результатам подведения итогов электронного аукциона и заключенных государственных контрактов экономия финансовых средств составила 20,903 млн. рублей. 15 мая 2020 года на имя Министра здравоохранения Российской Федерации Мурашко М.А. направлено письмо за исх. № 453 о согласовании освоения сэкономленных средств на приобретение и оснащение медицинским оборудованием 26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ФАПов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и дополнительно на строительство одного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ФАПа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Под строительство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ФАПов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в 11 муниципальных районах республики выделены 26 земельных участков и поставлены на кадастровый учет. В настоящее время все земельные участки закреплены за Министерством здравоохранения Республики Тыва на праве безвозмездного срочного пользования со сроком на 11 месяцев, кроме земельного участка, расположенного в с. Ак-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Чыраа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Овюрского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района. Обращение Министерства здравоохранения РТ находится на рассмотрении администрации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Овюрского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кожууна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В </w:t>
            </w:r>
            <w:r w:rsidRPr="005F651A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соответствии с графиком выполнения строительно-монтажных работ Государственных контрактов (далее - график), первым этапом строительства является прохождение государственной экспертизы, геолого-геодезические изыскания грунта строительного участка, привязка к местности со сроком 22 рабочих дня. </w:t>
            </w:r>
          </w:p>
          <w:p w:rsidR="00875236" w:rsidRPr="001B1A30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Подрядные организации уведомлены о необходимости прохождения в срок государственную экспертизу и об обеспечении строгого соблюдения мер по профилактике новой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коронавирусной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инфекции (COV1D-19), указанных в рекомендации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Роспотребнадзора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от 10 марта 2020 г. № 02/3853-2020-27 на строительных площадках. Всеми 12 подрядными организациями заключены договора с проектной организацией ООО Авангард на прохождение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госэкспертизы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, проектных работ (геолого-геодезические изыскания, привязка к местности). По состоянию на 1 июня 2020 года пробурены скважины в с.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Уюк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, с. Хадын, с.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Аржаан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, с.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Барлык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, с. Ак-Даш. Выполнили работы по устройству фундамента в с.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Барлык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, с. Ак-Эрик, с.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Уюк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, с. Хадын, с.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Аржаан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875236" w:rsidRPr="001B1A30" w:rsidTr="00BE50DE">
        <w:trPr>
          <w:trHeight w:val="557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1.41.2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Обеспечение закупки авиационных работ в целях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2020-2022гг.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1A" w:rsidRPr="005F651A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Выполнено – 68 вылетов по целевой программе:</w:t>
            </w:r>
          </w:p>
          <w:p w:rsidR="005F651A" w:rsidRPr="005F651A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Налет часов всего – 242,07 л/часов;</w:t>
            </w:r>
          </w:p>
          <w:p w:rsidR="005F651A" w:rsidRPr="005F651A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Среднее время 1 вылета составило 3,6 л/часа;</w:t>
            </w:r>
          </w:p>
          <w:p w:rsidR="005F651A" w:rsidRPr="005F651A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Освоение целевых средств с начала года – 61 427,0 тыс. рублей (36,2%), в том числе:</w:t>
            </w:r>
          </w:p>
          <w:p w:rsidR="005F651A" w:rsidRPr="005F651A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5F651A">
              <w:rPr>
                <w:rFonts w:ascii="Times New Roman" w:eastAsia="Times New Roman" w:hAnsi="Times New Roman"/>
                <w:lang w:eastAsia="ru-RU"/>
              </w:rPr>
              <w:t>средства</w:t>
            </w:r>
            <w:proofErr w:type="gram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федерального бюджета – 60 812,7 тыс. рублей;</w:t>
            </w:r>
          </w:p>
          <w:p w:rsidR="005F651A" w:rsidRPr="005F651A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5F651A">
              <w:rPr>
                <w:rFonts w:ascii="Times New Roman" w:eastAsia="Times New Roman" w:hAnsi="Times New Roman"/>
                <w:lang w:eastAsia="ru-RU"/>
              </w:rPr>
              <w:t>средства</w:t>
            </w:r>
            <w:proofErr w:type="gram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бюджета субъекта – 614,3 тыс. рублей.</w:t>
            </w:r>
          </w:p>
          <w:p w:rsidR="00875236" w:rsidRPr="001B1A30" w:rsidRDefault="005F651A" w:rsidP="005F65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Остаток целевых средств от плана – 88 573,0 тыс. рублей</w:t>
            </w:r>
          </w:p>
        </w:tc>
      </w:tr>
      <w:tr w:rsidR="00875236" w:rsidRPr="001B1A30" w:rsidTr="00B96FD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6 "Борьба с сердечно-сосудистыми заболеваниями"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1.42.1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Оснащение оборудованием региональных сосудистых центов и первичных сосудистых отделений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Издан приказ Минздрава РТ от 06.03.2020 г. № 221пр/20 "Об утверждении об утверждении плана-графика закупок товаров, работ, услуг в рамках Национального проекта "Здравоохранения" для нужд Министерство здравоохранения Республики Тыва", где запланировано закупка 3 наименований медицинского оборудования для оснащения оборудованием региональных сосудистых центров и первичных сосудистых отделений.</w:t>
            </w:r>
          </w:p>
        </w:tc>
      </w:tr>
      <w:tr w:rsidR="00875236" w:rsidRPr="001B1A30" w:rsidTr="001B1A30">
        <w:trPr>
          <w:trHeight w:val="12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1.42.2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</w:t>
            </w:r>
            <w:r w:rsidR="00B96FD0" w:rsidRPr="001B1A30">
              <w:rPr>
                <w:rFonts w:ascii="Times New Roman" w:eastAsia="Times New Roman" w:hAnsi="Times New Roman"/>
                <w:lang w:eastAsia="ru-RU"/>
              </w:rPr>
              <w:t>диспансерном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наблюдении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2020-2022гг.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Заключен 12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гос.контрактов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на сумму 10 498 245,14руб. с 5 поставщиками для профилактики осложнений сердечно-сосудистых заболеваний у пациентов высокого риска путем обеспечения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условиях. Поставлено 9 749 260,00 руб.</w:t>
            </w:r>
          </w:p>
        </w:tc>
      </w:tr>
      <w:tr w:rsidR="00875236" w:rsidRPr="001B1A30" w:rsidTr="00B96FD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3 "Борьба с онкологическими заболеваниями"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15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1.43.1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Создание и </w:t>
            </w: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оснащение 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референс</w:t>
            </w:r>
            <w:proofErr w:type="spellEnd"/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-центров для проведения </w:t>
            </w:r>
            <w:proofErr w:type="spellStart"/>
            <w:r w:rsidRPr="001B1A30">
              <w:rPr>
                <w:rFonts w:ascii="Times New Roman" w:eastAsia="Times New Roman" w:hAnsi="Times New Roman"/>
                <w:lang w:eastAsia="ru-RU"/>
              </w:rPr>
              <w:t>иммуногостохимических</w:t>
            </w:r>
            <w:proofErr w:type="spell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, патоморфологических </w:t>
            </w:r>
            <w:r w:rsidR="00B96FD0" w:rsidRPr="001B1A30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и лучевых методов исследований, переоснащение сети региональных  медицинских организаций, оказывающих помощь больным онкологическими заболеваниями в Республике Тыва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Издан приказ Минздрава РТ от 06.03.2020 г. № 221пр/20 "Об утверждении об утверждении плана-графика закупок товаров, работ, услуг в рамках Национального проекта "Здравоохранения" для нужд Министерство здравоохранения Республики Тыва", где запланировано закупка 16 наименований медицинского обор</w:t>
            </w:r>
            <w:r>
              <w:rPr>
                <w:rFonts w:ascii="Times New Roman" w:eastAsia="Times New Roman" w:hAnsi="Times New Roman"/>
                <w:lang w:eastAsia="ru-RU"/>
              </w:rPr>
              <w:t>удования для медицинских органи</w:t>
            </w:r>
            <w:r w:rsidRPr="005F651A">
              <w:rPr>
                <w:rFonts w:ascii="Times New Roman" w:eastAsia="Times New Roman" w:hAnsi="Times New Roman"/>
                <w:lang w:eastAsia="ru-RU"/>
              </w:rPr>
              <w:t>заций, оказывающих медицинскую помощь больным с онкологическими заболеваниями. Заключено 4 контракта на общую сумму 72 422,2 тыс. рублей. Профинансировано 2 185,2 тыс. руб. Остаток – 131 723,8 тыс. руб.</w:t>
            </w:r>
          </w:p>
        </w:tc>
      </w:tr>
      <w:tr w:rsidR="00875236" w:rsidRPr="001B1A30" w:rsidTr="001B1A30">
        <w:trPr>
          <w:trHeight w:val="12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Региональный проект 4 «</w:t>
            </w:r>
            <w:r w:rsidR="00875236" w:rsidRPr="001B1A30">
              <w:rPr>
                <w:rFonts w:ascii="Times New Roman" w:eastAsia="Times New Roman" w:hAnsi="Times New Roman"/>
                <w:lang w:eastAsia="ru-RU"/>
              </w:rPr>
              <w:t>Программа развития детского здравоохранения Республики Тыва, включая создание современной инфраструктуры ока</w:t>
            </w:r>
            <w:r>
              <w:rPr>
                <w:rFonts w:ascii="Times New Roman" w:eastAsia="Times New Roman" w:hAnsi="Times New Roman"/>
                <w:lang w:eastAsia="ru-RU"/>
              </w:rPr>
              <w:t>зания медицинской помощи детям»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1.44.1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Издан приказ МЗ РТ от 31.12.2019 г. № 1458 "Об утверждении перечня медицинских изделий и медицинских организаций, участвующих в региональной проекте "Развитие детского здравоохранения, включая создание современной инфраструктуры оказания медицинской помощи детям" на 2020 год</w:t>
            </w:r>
          </w:p>
        </w:tc>
      </w:tr>
      <w:tr w:rsidR="00875236" w:rsidRPr="001B1A30" w:rsidTr="00B96FD0">
        <w:trPr>
          <w:trHeight w:val="557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1.45.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8 "Разработка и реализация программы системной поддержки и повышения качества жизни граждан старшего поколения" ("Старшее поколение")"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1.45.1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96FD0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6FD0">
              <w:rPr>
                <w:rFonts w:ascii="Times New Roman" w:eastAsia="Times New Roman" w:hAnsi="Times New Roman"/>
                <w:lang w:eastAsia="ru-RU"/>
              </w:rPr>
              <w:t>Издан совместный приказ Минздрава РТ и Минтруда РТ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"Об утверждении плана профилактических прививок против пневмококковой инфекции граждан старшего поколения из групп риска проживающих в организациях социального обеспечения Республики Тыва на 2020-2022 годы". Заключен 1 договор на поставку вакцины 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Превенар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 xml:space="preserve"> с ООО "</w:t>
            </w:r>
            <w:proofErr w:type="spellStart"/>
            <w:r w:rsidRPr="00B96FD0">
              <w:rPr>
                <w:rFonts w:ascii="Times New Roman" w:eastAsia="Times New Roman" w:hAnsi="Times New Roman"/>
                <w:lang w:eastAsia="ru-RU"/>
              </w:rPr>
              <w:t>Сибмединфо</w:t>
            </w:r>
            <w:proofErr w:type="spellEnd"/>
            <w:r w:rsidRPr="00B96FD0">
              <w:rPr>
                <w:rFonts w:ascii="Times New Roman" w:eastAsia="Times New Roman" w:hAnsi="Times New Roman"/>
                <w:lang w:eastAsia="ru-RU"/>
              </w:rPr>
              <w:t>" на сумму 43 838,3400 руб. Поставлено и произведена оплата 100 %.</w:t>
            </w:r>
          </w:p>
        </w:tc>
      </w:tr>
      <w:tr w:rsidR="00875236" w:rsidRPr="001B1A30" w:rsidTr="001B1A30">
        <w:trPr>
          <w:trHeight w:val="57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2 «Развитие медицинской реабилитации и санаторно-курортного лечения, в том числе детей»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Оказание реабилитационной медицинской помощи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B96F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Медицинская реабилитация за отчетный период выполнено на сумму 29215,2 тыс. рублей, в том числе ГБУЗ РТ "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Барун-Хемчикская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ММЦ" - 0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(0 случая), ГБУЗ РТ "Республиканская больница № 1" - 10431,3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.(149 случая), ГАУЗ РТ СП "Серебрянка" - 10998,0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(249 случая), ГБУЗ РТ "Республиканский центр восстановительной медицины и реабилитации для детей" - 13006,8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. (183 случая).</w:t>
            </w:r>
          </w:p>
        </w:tc>
      </w:tr>
      <w:tr w:rsidR="00875236" w:rsidRPr="001B1A30" w:rsidTr="00A210AA">
        <w:trPr>
          <w:trHeight w:val="558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2. Оздоровление детей, находящихся на диспансерном наблюдении медицинских организациях в условиях санаторно-курортных учреждений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BE50DE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="00A210AA" w:rsidRPr="00A210AA">
              <w:rPr>
                <w:rFonts w:ascii="Times New Roman" w:eastAsia="Times New Roman" w:hAnsi="Times New Roman"/>
                <w:lang w:eastAsia="ru-RU"/>
              </w:rPr>
              <w:t>аправлены в санаторно-курортное лечение 727 детей, в том числе: санаторий "Белокуриха" - 81 чел.,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Вулан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" - 3 чел.,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Шира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" - 615 чел., санаторий "Васильевское" - 2 чел.,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Кратово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" - 4 чел., детский санаторий "Калуга-Бор" - 6 чел., санаторий "Горный воздух" - 2 чел., детский туберкулезный санаторий "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Кирицы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 xml:space="preserve">" - 10 чел., детский туберкулезный санаторий "Пионер" - 4 чел.  В связи с угрозой и распространения новой </w:t>
            </w:r>
            <w:proofErr w:type="spellStart"/>
            <w:r w:rsidR="00A210AA" w:rsidRPr="00A210AA">
              <w:rPr>
                <w:rFonts w:ascii="Times New Roman" w:eastAsia="Times New Roman" w:hAnsi="Times New Roman"/>
                <w:lang w:eastAsia="ru-RU"/>
              </w:rPr>
              <w:t>короновирусной</w:t>
            </w:r>
            <w:proofErr w:type="spellEnd"/>
            <w:r w:rsidR="00A210AA" w:rsidRPr="00A210AA">
              <w:rPr>
                <w:rFonts w:ascii="Times New Roman" w:eastAsia="Times New Roman" w:hAnsi="Times New Roman"/>
                <w:lang w:eastAsia="ru-RU"/>
              </w:rPr>
              <w:t xml:space="preserve"> инфекцией COVID-19 отменен 58 путевок.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E50DE">
              <w:rPr>
                <w:rFonts w:ascii="Times New Roman" w:eastAsia="Times New Roman" w:hAnsi="Times New Roman"/>
                <w:lang w:eastAsia="ru-RU"/>
              </w:rPr>
              <w:t>Направлены финансовые средства в ГБУЗ РТ "Противотуберкулезный диспансер" на сумму 96 233,40 руб.</w:t>
            </w: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5236" w:rsidRPr="001B1A30" w:rsidRDefault="00A210AA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3 «Развитие кадровых ресурсов в здравоохранении»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Развитие среднего профессионального образования в сфере здравоохранения. Подготовка кадров средних медицинских работников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BE50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В течение отчетного периода на обеспечение деятельности Медицинского колледжа профинансировано 19 861 600,00 рублей (на коммунальные услуги, материальные запасы, заработная плата, налоги и др. статьи).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2. Развитие среднего профессионального образования в сфере здравоохранения (стипендии)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BE50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ГБПОУ РТ "Республиканский медицинский колледж" отправил расчет потребности на выплату стипендии в сумме 1 352 652,00 руб. и сиротам на сумму 1 584 244,00 руб. Всего 2 936 896,00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3. Подготовка кадров средних медицинских работников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3D7BB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В течение отчетного периода на обеспечение мероприятия подготовка средних медицинских работников Медицинского </w:t>
            </w:r>
            <w:r w:rsidRPr="005F651A">
              <w:rPr>
                <w:rFonts w:ascii="Times New Roman" w:eastAsia="Times New Roman" w:hAnsi="Times New Roman"/>
                <w:lang w:eastAsia="ru-RU"/>
              </w:rPr>
              <w:lastRenderedPageBreak/>
              <w:t>колледжа профинансировано 438 755,00 рублей (заработная плата и начисления на выплаты по оплате труда)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lastRenderedPageBreak/>
              <w:t>3.4.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4. Централизованные расходы на курсовые и сертификационные мероприятия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A210A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lang w:eastAsia="ru-RU"/>
              </w:rPr>
              <w:t>На 2020 год запланированы следующие курсовые и сертификационные мероприятия: "Организация здравоохранения и общественное здоровье", "</w:t>
            </w:r>
            <w:proofErr w:type="spellStart"/>
            <w:r w:rsidRPr="00A210AA">
              <w:rPr>
                <w:rFonts w:ascii="Times New Roman" w:eastAsia="Times New Roman" w:hAnsi="Times New Roman"/>
                <w:lang w:eastAsia="ru-RU"/>
              </w:rPr>
              <w:t>Симуляционное</w:t>
            </w:r>
            <w:proofErr w:type="spellEnd"/>
            <w:r w:rsidRPr="00A210AA">
              <w:rPr>
                <w:rFonts w:ascii="Times New Roman" w:eastAsia="Times New Roman" w:hAnsi="Times New Roman"/>
                <w:lang w:eastAsia="ru-RU"/>
              </w:rPr>
              <w:t xml:space="preserve"> обучение в Центре повышения квалификации", "Детство", "Болезни системы кровообращения", "Онкология", "</w:t>
            </w:r>
            <w:proofErr w:type="spellStart"/>
            <w:r w:rsidRPr="00A210AA">
              <w:rPr>
                <w:rFonts w:ascii="Times New Roman" w:eastAsia="Times New Roman" w:hAnsi="Times New Roman"/>
                <w:lang w:eastAsia="ru-RU"/>
              </w:rPr>
              <w:t>Санавиация</w:t>
            </w:r>
            <w:proofErr w:type="spellEnd"/>
            <w:r w:rsidRPr="00A210AA">
              <w:rPr>
                <w:rFonts w:ascii="Times New Roman" w:eastAsia="Times New Roman" w:hAnsi="Times New Roman"/>
                <w:lang w:eastAsia="ru-RU"/>
              </w:rPr>
              <w:t>", "Ортодонтия", "Урология". Прошли обучение тематическое усовершенствование по "Онкологии" 3 врачей на сумму 103 560,00 руб.</w:t>
            </w:r>
          </w:p>
        </w:tc>
      </w:tr>
      <w:tr w:rsidR="00875236" w:rsidRPr="001B1A30" w:rsidTr="001B1A30">
        <w:trPr>
          <w:trHeight w:val="21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Мероприятие 5. 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</w:t>
            </w:r>
            <w:r w:rsidR="00A210AA" w:rsidRPr="001B1A30">
              <w:rPr>
                <w:rFonts w:ascii="Times New Roman" w:eastAsia="Times New Roman" w:hAnsi="Times New Roman"/>
                <w:lang w:eastAsia="ru-RU"/>
              </w:rPr>
              <w:t>поселок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, либо </w:t>
            </w:r>
            <w:r w:rsidR="00A210AA" w:rsidRPr="001B1A30">
              <w:rPr>
                <w:rFonts w:ascii="Times New Roman" w:eastAsia="Times New Roman" w:hAnsi="Times New Roman"/>
                <w:lang w:eastAsia="ru-RU"/>
              </w:rPr>
              <w:t>поселок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городского типа или переехавший на работу в сельский населенный пункт, либо рабочий поселок, либо </w:t>
            </w:r>
            <w:r w:rsidR="00A210AA" w:rsidRPr="001B1A30">
              <w:rPr>
                <w:rFonts w:ascii="Times New Roman" w:eastAsia="Times New Roman" w:hAnsi="Times New Roman"/>
                <w:lang w:eastAsia="ru-RU"/>
              </w:rPr>
              <w:t>поселок</w:t>
            </w:r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городского типа из другого населенного пункта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A210A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210AA">
              <w:rPr>
                <w:rFonts w:ascii="Times New Roman" w:eastAsia="Times New Roman" w:hAnsi="Times New Roman"/>
                <w:lang w:eastAsia="ru-RU"/>
              </w:rPr>
              <w:t>На это год запланировано предоставление единовременных компенсационных выплат 15 врачам.</w:t>
            </w:r>
          </w:p>
        </w:tc>
      </w:tr>
      <w:tr w:rsidR="00875236" w:rsidRPr="001B1A30" w:rsidTr="00A210AA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2 "Обеспечение медицинских организаций системы здравоохранения Республики Тыва квалифицированными кадрами"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3.6.1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Развитие среднего профессионального образования в сфере здравоохранения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17EF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На развитие 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симуляционных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площадок для закупки манекенов и оборудовании </w:t>
            </w:r>
            <w:proofErr w:type="gramStart"/>
            <w:r w:rsidRPr="00217EF6">
              <w:rPr>
                <w:rFonts w:ascii="Times New Roman" w:eastAsia="Times New Roman" w:hAnsi="Times New Roman"/>
                <w:lang w:eastAsia="ru-RU"/>
              </w:rPr>
              <w:t>для  нужды</w:t>
            </w:r>
            <w:proofErr w:type="gram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Республиканского медицинского колледжа предусмотрено 6 000,0 тыс. руб.  </w:t>
            </w: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4 «Медико-санитарное обеспечение отдельных категорий граждан»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Медицинское обеспечение спортивных сборных команд Республики Тыва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72" w:rsidRDefault="00692B72" w:rsidP="00692B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Учебно-тренировочное мероприятие по вольной борьбе сборных команд РТ на подготовку всероссийского турнира на призы Академии борьбы им. «Д.Г.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Миндиашвили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 в г. Красноярск январь 2020 года. Спортзал «ХЕРЕЛ».</w:t>
            </w:r>
          </w:p>
          <w:p w:rsidR="00692B72" w:rsidRDefault="00692B72" w:rsidP="00692B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Учебно-тренировочное мероприятие по вольной борьбе сборных команд РТ на подготовку международного турнира «Гран-При Иван Ярыгин» в г. Красноярск январь 2020 года. Спорт зал «ХЕРЕЛ».</w:t>
            </w:r>
          </w:p>
          <w:p w:rsidR="00692B72" w:rsidRDefault="00692B72" w:rsidP="00692B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Учебно-тренировочное мероприятие по вольной борьбе сборных команд РТ на подготовку первенстве Сибирского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Федерального Округа по вольной борьбе в г. Красноярск февраль 2020 год. Спортзал «ХЕРЕЛ».  </w:t>
            </w:r>
          </w:p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5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5 «Информационные технологии в здравоохранении»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5.3.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Региональный проект 1 "Создание единого цифрового контура в здравоохранении Республики Тыва на основе единой государственной информационной системы здравоохранения (ЕГИСЗ РТ)"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5.3.1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Реализация государственной информационной системы в сфере здравоохранения, соответствующая требованиям Минздрава России, подключенная к ЕГИСЗ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2019-2022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Мероприятия Цифрового контур на 2020 г.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1. Расширение вычислительных мощностей регионального Центра обработки данных Министерства здравоохранения РТ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2. Создание дополнительных автоматизированных рабочих мест для медицинских работников (компьютерное оборудование)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3. Замена устаревших автоматизированных рабочих мест для медицинских работников (компьютерное оборудование)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4. Закупка периферийного оборудования (принтеры, МФУ, прочее)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5. Обследование, проектирование, создание ЛВС/СКС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6. Подключение к региональной защищенной сети передачи данных дополнительных АРМ медицинских работников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7. Ежегодное обеспечение врачей сертификатами усиленными квалифицированными электронными подписями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8. Создание Удостоверяющего центра на базе ГБУЗ «МИАЦ РТ»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9. Мероприятия по обеспечению информационной безопасности при эксплуатации государственной информационной системы в сфере здравоохранения, медицинских информационных систем государственных и муниципальных медицинских организаций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10. Модернизация медицинских информационных систем медицинских организаций для обеспечения исполнения мероприятий и показателей результата паспорта федерального проекта, обеспечивающая в том числе ведение расписания приема врачей, электронных медицинских карт, автоматическую выгрузку счетов (реестров счетов) в ТФОМС, создание и хранение электронных медицинских документов, включая СЭМД, а также информационное взаимодействие с подсистемами ЕГИСЗ в целях оказания медицинской помощи и электронных 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lastRenderedPageBreak/>
              <w:t>услуг (сервисов) для граждан, и с другими отраслевыми информационными системами (в том числе ФСС, ФБ МСЭ)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11. Развитие (создание и внедрение) централизованной системы "Управление скорой и неотложной медицинской помощью (включая управление </w:t>
            </w:r>
            <w:proofErr w:type="spellStart"/>
            <w:r w:rsidRPr="00217EF6">
              <w:rPr>
                <w:rFonts w:ascii="Times New Roman" w:eastAsia="Times New Roman" w:hAnsi="Times New Roman"/>
                <w:lang w:eastAsia="ru-RU"/>
              </w:rPr>
              <w:t>Санавиацией</w:t>
            </w:r>
            <w:proofErr w:type="spellEnd"/>
            <w:r w:rsidRPr="00217EF6">
              <w:rPr>
                <w:rFonts w:ascii="Times New Roman" w:eastAsia="Times New Roman" w:hAnsi="Times New Roman"/>
                <w:lang w:eastAsia="ru-RU"/>
              </w:rPr>
              <w:t>)", к которой подключены станции и подстанции, обеспечивающих оказание скорой медицинской помощи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12. Развитие (создание и внедрение) централизованной системы "Управление льготным лекарственным обеспечением", к которой подключены медицинские организации и их структурные подразделения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13. Развитие (создание и внедрение) централизованной системы "Управление льготным лекарственным обеспечением", к которой подключены аптечные организации, участвующих в реализации программ льготного лекарственного обеспечения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14. Развитие (создание и внедрение) централизованной подсистемы "Управление потоками пациентов"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15. Развитие (создание и внедрение) централизованной подсистемы "Телемедицинские консультации"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>16. Развитие (создание и внедрение) централизованной системы "Лабораторные исследования</w:t>
            </w:r>
            <w:proofErr w:type="gramStart"/>
            <w:r w:rsidRPr="00217EF6">
              <w:rPr>
                <w:rFonts w:ascii="Times New Roman" w:eastAsia="Times New Roman" w:hAnsi="Times New Roman"/>
                <w:lang w:eastAsia="ru-RU"/>
              </w:rPr>
              <w:t>"  к</w:t>
            </w:r>
            <w:proofErr w:type="gramEnd"/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которой подключены клинико-диагностических лабораторий медицинских организацией республики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17. Развитие (создание и внедрение) централизованной системы "Центральный архив медицинских изображений"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18. Развитие (создание и внедрение) централизованной подсистемы "Организации оказания медицинской помощи по профилям "Акушерство и гинекология" и "Неонатология (мониторинг беременных)"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19. Развитие (создание и внедрение) централизованной подсистемы "Организации оказания профилактической медицинской помощи (диспансеризация, диспансерное наблюдение, профилактические осмотры)"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20. Развитие (создание и внедрение) централизованной подсистемы "Организации оказания медицинской помощи больным с онкологическими заболеваниями" </w:t>
            </w:r>
          </w:p>
          <w:p w:rsidR="00217EF6" w:rsidRPr="00217EF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21. Развитие (создание и внедрение) централизованной подсистемы "Организации оказания медицинской помощи больным с сердечно-сосудистыми заболеваниями" </w:t>
            </w:r>
          </w:p>
          <w:p w:rsidR="00875236" w:rsidRDefault="00217EF6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lastRenderedPageBreak/>
              <w:t>22. Развитие (создание и внедрение) централизованной подсистемы "Интегрированная электронная медицинская карта".</w:t>
            </w:r>
          </w:p>
          <w:p w:rsidR="005F651A" w:rsidRPr="001B1A30" w:rsidRDefault="005F651A" w:rsidP="00217E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Заключен 3 контракта на общую сумму 110 811,13 тыс. рублей. Профинансировано 13241,5 тыс. рублей. Кассовый расход 13 241,5 тыс. рублей. Остаток от плана 272 384,4 тыс. рублей.</w:t>
            </w:r>
          </w:p>
        </w:tc>
      </w:tr>
      <w:tr w:rsidR="00875236" w:rsidRPr="001B1A30" w:rsidTr="001B1A30">
        <w:trPr>
          <w:trHeight w:val="3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1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6 «Организация обязательного медицинского страхования граждан Республики Тыва».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1. Медицинское страхование неработающего населения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 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217EF6" w:rsidP="003D7BB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За отчетный период направлены средства в Территориальный фонд обязательного медицинского страхования по Республике Тыва на общую сумму </w:t>
            </w:r>
            <w:r w:rsidR="003D7BBB">
              <w:rPr>
                <w:rFonts w:ascii="Times New Roman" w:eastAsia="Times New Roman" w:hAnsi="Times New Roman"/>
                <w:lang w:eastAsia="ru-RU"/>
              </w:rPr>
              <w:t>1 150 322 415,00</w:t>
            </w:r>
            <w:r w:rsidRPr="00217EF6">
              <w:rPr>
                <w:rFonts w:ascii="Times New Roman" w:eastAsia="Times New Roman" w:hAnsi="Times New Roman"/>
                <w:lang w:eastAsia="ru-RU"/>
              </w:rPr>
              <w:t xml:space="preserve"> руб.</w:t>
            </w:r>
          </w:p>
        </w:tc>
      </w:tr>
      <w:tr w:rsidR="00875236" w:rsidRPr="001B1A30" w:rsidTr="001B1A30">
        <w:trPr>
          <w:trHeight w:val="900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1A30">
              <w:rPr>
                <w:rFonts w:ascii="Times New Roman" w:eastAsia="Times New Roman" w:hAnsi="Times New Roman"/>
                <w:lang w:eastAsia="ru-RU"/>
              </w:rPr>
              <w:t>Мероприятие 2. Увеличение доли частных медицинских организаций в системе оказания медицинской помощи населению республики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36" w:rsidRPr="001B1A30" w:rsidRDefault="00875236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B1A30">
              <w:rPr>
                <w:rFonts w:ascii="Times New Roman" w:eastAsia="Times New Roman" w:hAnsi="Times New Roman"/>
                <w:lang w:eastAsia="ru-RU"/>
              </w:rPr>
              <w:t>ежемесячно</w:t>
            </w:r>
            <w:proofErr w:type="gramEnd"/>
            <w:r w:rsidRPr="001B1A30">
              <w:rPr>
                <w:rFonts w:ascii="Times New Roman" w:eastAsia="Times New Roman" w:hAnsi="Times New Roman"/>
                <w:lang w:eastAsia="ru-RU"/>
              </w:rPr>
              <w:t xml:space="preserve"> до 5 числа месяца за отчетным 2018-2025гг.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36" w:rsidRPr="001B1A30" w:rsidRDefault="005F651A" w:rsidP="008752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651A">
              <w:rPr>
                <w:rFonts w:ascii="Times New Roman" w:eastAsia="Times New Roman" w:hAnsi="Times New Roman"/>
                <w:lang w:eastAsia="ru-RU"/>
              </w:rPr>
              <w:t>Частными медицинскими организациями оказана медицинская помощь на сумму 56614,1 тыс. рублей  или 30,3 %, из них ИП "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Олчей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" - 115,7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(57 случая), ИП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Монгуш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Р.К. - 121,4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(46 случая), ИП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Саражакова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Л.А. - 193,9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.(102 случая), ООО "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Байдо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" - 440,4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.(143 случаев), МЧУ ДПО "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Нефросовет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" - 47424,3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. (667 случая), ООО "Семейный доктор" - 176,7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. (154 случаев), ООО "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Санталь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 17" - 2241,6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. (172 случая), ООО "Вита-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Дент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 xml:space="preserve">" - 36,0 </w:t>
            </w:r>
            <w:proofErr w:type="spellStart"/>
            <w:r w:rsidRPr="005F651A">
              <w:rPr>
                <w:rFonts w:ascii="Times New Roman" w:eastAsia="Times New Roman" w:hAnsi="Times New Roman"/>
                <w:lang w:eastAsia="ru-RU"/>
              </w:rPr>
              <w:t>тыс.руб</w:t>
            </w:r>
            <w:proofErr w:type="spellEnd"/>
            <w:r w:rsidRPr="005F651A">
              <w:rPr>
                <w:rFonts w:ascii="Times New Roman" w:eastAsia="Times New Roman" w:hAnsi="Times New Roman"/>
                <w:lang w:eastAsia="ru-RU"/>
              </w:rPr>
              <w:t>. (16 случая), ООО "МЦ "Гиппократ" - 238,3 (199 случая) .</w:t>
            </w:r>
          </w:p>
        </w:tc>
      </w:tr>
    </w:tbl>
    <w:p w:rsidR="001B1A30" w:rsidRDefault="001B1A30">
      <w:pPr>
        <w:rPr>
          <w:rFonts w:ascii="Times New Roman" w:hAnsi="Times New Roman"/>
        </w:rPr>
      </w:pPr>
      <w:bookmarkStart w:id="0" w:name="_GoBack"/>
      <w:bookmarkEnd w:id="0"/>
    </w:p>
    <w:p w:rsidR="00A86006" w:rsidRPr="00C92C9B" w:rsidRDefault="00A86006">
      <w:pPr>
        <w:rPr>
          <w:rFonts w:ascii="Times New Roman" w:hAnsi="Times New Roman"/>
        </w:rPr>
      </w:pPr>
    </w:p>
    <w:sectPr w:rsidR="00A86006" w:rsidRPr="00C92C9B" w:rsidSect="00C64D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C05D6"/>
    <w:multiLevelType w:val="hybridMultilevel"/>
    <w:tmpl w:val="0AC44CEC"/>
    <w:lvl w:ilvl="0" w:tplc="249CC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C1"/>
    <w:rsid w:val="00011431"/>
    <w:rsid w:val="0001150B"/>
    <w:rsid w:val="00017F41"/>
    <w:rsid w:val="00033DB3"/>
    <w:rsid w:val="000361E9"/>
    <w:rsid w:val="00047449"/>
    <w:rsid w:val="00056441"/>
    <w:rsid w:val="00060435"/>
    <w:rsid w:val="0006131F"/>
    <w:rsid w:val="00065580"/>
    <w:rsid w:val="00076531"/>
    <w:rsid w:val="00080E36"/>
    <w:rsid w:val="0008301F"/>
    <w:rsid w:val="00094B21"/>
    <w:rsid w:val="000A06D4"/>
    <w:rsid w:val="000A7AC9"/>
    <w:rsid w:val="000B1E72"/>
    <w:rsid w:val="000B3525"/>
    <w:rsid w:val="000D0EBD"/>
    <w:rsid w:val="000D3EB1"/>
    <w:rsid w:val="000D451A"/>
    <w:rsid w:val="000E45EA"/>
    <w:rsid w:val="000F0369"/>
    <w:rsid w:val="001237A9"/>
    <w:rsid w:val="00126241"/>
    <w:rsid w:val="001279AC"/>
    <w:rsid w:val="001316FD"/>
    <w:rsid w:val="00160E84"/>
    <w:rsid w:val="00163393"/>
    <w:rsid w:val="0017167B"/>
    <w:rsid w:val="00172C59"/>
    <w:rsid w:val="00177F43"/>
    <w:rsid w:val="001801BA"/>
    <w:rsid w:val="00183B63"/>
    <w:rsid w:val="00184265"/>
    <w:rsid w:val="00195FBA"/>
    <w:rsid w:val="001A6055"/>
    <w:rsid w:val="001B1A30"/>
    <w:rsid w:val="001B6AC1"/>
    <w:rsid w:val="001C0FF8"/>
    <w:rsid w:val="001C24A4"/>
    <w:rsid w:val="001C2DCD"/>
    <w:rsid w:val="001D3557"/>
    <w:rsid w:val="001F28F8"/>
    <w:rsid w:val="002019EC"/>
    <w:rsid w:val="00217EF6"/>
    <w:rsid w:val="00237716"/>
    <w:rsid w:val="00247FFD"/>
    <w:rsid w:val="00252347"/>
    <w:rsid w:val="00252733"/>
    <w:rsid w:val="002547B2"/>
    <w:rsid w:val="002549AE"/>
    <w:rsid w:val="00285C99"/>
    <w:rsid w:val="00287604"/>
    <w:rsid w:val="002907B5"/>
    <w:rsid w:val="0029319C"/>
    <w:rsid w:val="002A324C"/>
    <w:rsid w:val="002A4621"/>
    <w:rsid w:val="002A623D"/>
    <w:rsid w:val="002B7352"/>
    <w:rsid w:val="002C6D86"/>
    <w:rsid w:val="002E2B30"/>
    <w:rsid w:val="002E2E00"/>
    <w:rsid w:val="002F2319"/>
    <w:rsid w:val="003033CF"/>
    <w:rsid w:val="00307A19"/>
    <w:rsid w:val="003100B2"/>
    <w:rsid w:val="0033224F"/>
    <w:rsid w:val="0033741D"/>
    <w:rsid w:val="00342648"/>
    <w:rsid w:val="003678E5"/>
    <w:rsid w:val="003823C3"/>
    <w:rsid w:val="0039215F"/>
    <w:rsid w:val="003A1909"/>
    <w:rsid w:val="003D02C5"/>
    <w:rsid w:val="003D0D87"/>
    <w:rsid w:val="003D7BBB"/>
    <w:rsid w:val="003F17AF"/>
    <w:rsid w:val="0041744E"/>
    <w:rsid w:val="004346E0"/>
    <w:rsid w:val="0043610A"/>
    <w:rsid w:val="00443EE0"/>
    <w:rsid w:val="004452B5"/>
    <w:rsid w:val="0044639B"/>
    <w:rsid w:val="00452000"/>
    <w:rsid w:val="00466C3A"/>
    <w:rsid w:val="004738D2"/>
    <w:rsid w:val="00481DCA"/>
    <w:rsid w:val="004865B4"/>
    <w:rsid w:val="004A1AD9"/>
    <w:rsid w:val="004B0E79"/>
    <w:rsid w:val="004C7174"/>
    <w:rsid w:val="004E38CF"/>
    <w:rsid w:val="004F4BB4"/>
    <w:rsid w:val="00507407"/>
    <w:rsid w:val="00521440"/>
    <w:rsid w:val="00531A4D"/>
    <w:rsid w:val="00531BDD"/>
    <w:rsid w:val="005409F6"/>
    <w:rsid w:val="00540AAE"/>
    <w:rsid w:val="005516B0"/>
    <w:rsid w:val="00556535"/>
    <w:rsid w:val="00565290"/>
    <w:rsid w:val="00570582"/>
    <w:rsid w:val="00572067"/>
    <w:rsid w:val="00592613"/>
    <w:rsid w:val="00594182"/>
    <w:rsid w:val="00595948"/>
    <w:rsid w:val="00597314"/>
    <w:rsid w:val="005B0DF0"/>
    <w:rsid w:val="005B11DD"/>
    <w:rsid w:val="005B5552"/>
    <w:rsid w:val="005B5B0B"/>
    <w:rsid w:val="005C3432"/>
    <w:rsid w:val="005D1B6B"/>
    <w:rsid w:val="005D40F8"/>
    <w:rsid w:val="005D50C6"/>
    <w:rsid w:val="005F1519"/>
    <w:rsid w:val="005F651A"/>
    <w:rsid w:val="005F76E2"/>
    <w:rsid w:val="00612197"/>
    <w:rsid w:val="00615A78"/>
    <w:rsid w:val="00621169"/>
    <w:rsid w:val="00627596"/>
    <w:rsid w:val="00637FFE"/>
    <w:rsid w:val="0066036D"/>
    <w:rsid w:val="006705EB"/>
    <w:rsid w:val="00681407"/>
    <w:rsid w:val="00690C56"/>
    <w:rsid w:val="00691EF9"/>
    <w:rsid w:val="00692B72"/>
    <w:rsid w:val="006A6710"/>
    <w:rsid w:val="006B7AA6"/>
    <w:rsid w:val="006E147E"/>
    <w:rsid w:val="006E1873"/>
    <w:rsid w:val="006E1AC0"/>
    <w:rsid w:val="006E1BAD"/>
    <w:rsid w:val="006F0553"/>
    <w:rsid w:val="006F3B4A"/>
    <w:rsid w:val="006F6F60"/>
    <w:rsid w:val="00717275"/>
    <w:rsid w:val="00721803"/>
    <w:rsid w:val="00724122"/>
    <w:rsid w:val="00732D98"/>
    <w:rsid w:val="00746D8A"/>
    <w:rsid w:val="00760612"/>
    <w:rsid w:val="00760632"/>
    <w:rsid w:val="00772789"/>
    <w:rsid w:val="007922C2"/>
    <w:rsid w:val="007C0A5B"/>
    <w:rsid w:val="007C583D"/>
    <w:rsid w:val="007D0623"/>
    <w:rsid w:val="007D5469"/>
    <w:rsid w:val="007E1FF2"/>
    <w:rsid w:val="00804F69"/>
    <w:rsid w:val="008114B1"/>
    <w:rsid w:val="00826D43"/>
    <w:rsid w:val="00826F20"/>
    <w:rsid w:val="00827B7D"/>
    <w:rsid w:val="0083206A"/>
    <w:rsid w:val="00865087"/>
    <w:rsid w:val="00865AC3"/>
    <w:rsid w:val="008706DB"/>
    <w:rsid w:val="00875236"/>
    <w:rsid w:val="008766D6"/>
    <w:rsid w:val="00881C96"/>
    <w:rsid w:val="00897C7D"/>
    <w:rsid w:val="008B08A9"/>
    <w:rsid w:val="008C6E06"/>
    <w:rsid w:val="008D72D8"/>
    <w:rsid w:val="008D786F"/>
    <w:rsid w:val="008F1784"/>
    <w:rsid w:val="008F5176"/>
    <w:rsid w:val="00914DC8"/>
    <w:rsid w:val="00935FCB"/>
    <w:rsid w:val="00961F19"/>
    <w:rsid w:val="00962876"/>
    <w:rsid w:val="0097629C"/>
    <w:rsid w:val="00980CD2"/>
    <w:rsid w:val="009962EC"/>
    <w:rsid w:val="009B54F8"/>
    <w:rsid w:val="009C413B"/>
    <w:rsid w:val="009F33F2"/>
    <w:rsid w:val="009F5C94"/>
    <w:rsid w:val="00A12C87"/>
    <w:rsid w:val="00A20778"/>
    <w:rsid w:val="00A210AA"/>
    <w:rsid w:val="00A534C6"/>
    <w:rsid w:val="00A86006"/>
    <w:rsid w:val="00A930A1"/>
    <w:rsid w:val="00AA0BA3"/>
    <w:rsid w:val="00AA788A"/>
    <w:rsid w:val="00AC091C"/>
    <w:rsid w:val="00AC7733"/>
    <w:rsid w:val="00AE557C"/>
    <w:rsid w:val="00AF372F"/>
    <w:rsid w:val="00B135E2"/>
    <w:rsid w:val="00B3086C"/>
    <w:rsid w:val="00B33332"/>
    <w:rsid w:val="00B354AA"/>
    <w:rsid w:val="00B42832"/>
    <w:rsid w:val="00B43740"/>
    <w:rsid w:val="00B6462D"/>
    <w:rsid w:val="00B651E2"/>
    <w:rsid w:val="00B67E3A"/>
    <w:rsid w:val="00B81890"/>
    <w:rsid w:val="00B8749A"/>
    <w:rsid w:val="00B96FD0"/>
    <w:rsid w:val="00BA462C"/>
    <w:rsid w:val="00BA6547"/>
    <w:rsid w:val="00BB4FFD"/>
    <w:rsid w:val="00BC6CA7"/>
    <w:rsid w:val="00BC71C9"/>
    <w:rsid w:val="00BD3D5D"/>
    <w:rsid w:val="00BD7236"/>
    <w:rsid w:val="00BE50DE"/>
    <w:rsid w:val="00C300C6"/>
    <w:rsid w:val="00C36726"/>
    <w:rsid w:val="00C64D94"/>
    <w:rsid w:val="00C92C9B"/>
    <w:rsid w:val="00CB49BD"/>
    <w:rsid w:val="00CC028B"/>
    <w:rsid w:val="00CC4F25"/>
    <w:rsid w:val="00CE0E82"/>
    <w:rsid w:val="00CE5B51"/>
    <w:rsid w:val="00CF34D5"/>
    <w:rsid w:val="00CF514E"/>
    <w:rsid w:val="00D04C3B"/>
    <w:rsid w:val="00D25A7D"/>
    <w:rsid w:val="00D30B67"/>
    <w:rsid w:val="00D36963"/>
    <w:rsid w:val="00D47952"/>
    <w:rsid w:val="00D6497A"/>
    <w:rsid w:val="00D742B6"/>
    <w:rsid w:val="00D75E2B"/>
    <w:rsid w:val="00D77D20"/>
    <w:rsid w:val="00DA3395"/>
    <w:rsid w:val="00DB16B2"/>
    <w:rsid w:val="00DB4771"/>
    <w:rsid w:val="00DC512C"/>
    <w:rsid w:val="00DC5AC7"/>
    <w:rsid w:val="00DC6BCB"/>
    <w:rsid w:val="00DD4A3C"/>
    <w:rsid w:val="00DF245C"/>
    <w:rsid w:val="00E006B7"/>
    <w:rsid w:val="00E03C89"/>
    <w:rsid w:val="00E043A8"/>
    <w:rsid w:val="00E111EA"/>
    <w:rsid w:val="00E22CE7"/>
    <w:rsid w:val="00E24479"/>
    <w:rsid w:val="00E4695A"/>
    <w:rsid w:val="00E47A0B"/>
    <w:rsid w:val="00E51E81"/>
    <w:rsid w:val="00E53D26"/>
    <w:rsid w:val="00E56163"/>
    <w:rsid w:val="00E66EEF"/>
    <w:rsid w:val="00E71FC2"/>
    <w:rsid w:val="00EB1BF8"/>
    <w:rsid w:val="00EC15F6"/>
    <w:rsid w:val="00EC6CC5"/>
    <w:rsid w:val="00ED0827"/>
    <w:rsid w:val="00EF05FF"/>
    <w:rsid w:val="00EF2881"/>
    <w:rsid w:val="00F17452"/>
    <w:rsid w:val="00F31E0B"/>
    <w:rsid w:val="00F44553"/>
    <w:rsid w:val="00F52C93"/>
    <w:rsid w:val="00F549E6"/>
    <w:rsid w:val="00F60145"/>
    <w:rsid w:val="00F647BF"/>
    <w:rsid w:val="00F667C9"/>
    <w:rsid w:val="00F67AF7"/>
    <w:rsid w:val="00F7034E"/>
    <w:rsid w:val="00F77E90"/>
    <w:rsid w:val="00F9567E"/>
    <w:rsid w:val="00FA2506"/>
    <w:rsid w:val="00FB3355"/>
    <w:rsid w:val="00FC2EDA"/>
    <w:rsid w:val="00FC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069B9-3374-4614-BB70-2CFA5D0C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A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2"/>
    <w:locked/>
    <w:rsid w:val="001B6AC1"/>
    <w:rPr>
      <w:rFonts w:cs="Calibri"/>
    </w:rPr>
  </w:style>
  <w:style w:type="paragraph" w:customStyle="1" w:styleId="2">
    <w:name w:val="Без интервала2"/>
    <w:link w:val="NoSpacingChar"/>
    <w:rsid w:val="001B6AC1"/>
    <w:pPr>
      <w:spacing w:after="0" w:line="240" w:lineRule="auto"/>
    </w:pPr>
    <w:rPr>
      <w:rFonts w:cs="Calibri"/>
    </w:rPr>
  </w:style>
  <w:style w:type="paragraph" w:styleId="a3">
    <w:name w:val="No Spacing"/>
    <w:uiPriority w:val="1"/>
    <w:qFormat/>
    <w:rsid w:val="00597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link w:val="NoSpacingChar3"/>
    <w:rsid w:val="005D50C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3">
    <w:name w:val="No Spacing Char3"/>
    <w:link w:val="1"/>
    <w:locked/>
    <w:rsid w:val="005D50C6"/>
    <w:rPr>
      <w:rFonts w:ascii="Calibri" w:eastAsia="Times New Roman" w:hAnsi="Calibri" w:cs="Times New Roman"/>
    </w:rPr>
  </w:style>
  <w:style w:type="paragraph" w:styleId="20">
    <w:name w:val="Body Text 2"/>
    <w:basedOn w:val="a"/>
    <w:link w:val="21"/>
    <w:unhideWhenUsed/>
    <w:rsid w:val="00247F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247F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47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1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14</Pages>
  <Words>4894</Words>
  <Characters>27898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</dc:creator>
  <cp:keywords/>
  <dc:description/>
  <cp:lastModifiedBy>АБ</cp:lastModifiedBy>
  <cp:revision>268</cp:revision>
  <cp:lastPrinted>2020-01-17T05:41:00Z</cp:lastPrinted>
  <dcterms:created xsi:type="dcterms:W3CDTF">2018-09-11T03:02:00Z</dcterms:created>
  <dcterms:modified xsi:type="dcterms:W3CDTF">2020-06-08T09:34:00Z</dcterms:modified>
</cp:coreProperties>
</file>