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E16" w:rsidRDefault="00475E16" w:rsidP="00475E16">
      <w:pPr>
        <w:tabs>
          <w:tab w:val="left" w:pos="12333"/>
        </w:tabs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43326">
        <w:rPr>
          <w:rFonts w:ascii="Times New Roman" w:hAnsi="Times New Roman" w:cs="Times New Roman"/>
          <w:sz w:val="24"/>
          <w:szCs w:val="24"/>
        </w:rPr>
        <w:t>Приложение</w:t>
      </w:r>
      <w:r w:rsidR="0040519C">
        <w:rPr>
          <w:rFonts w:ascii="Times New Roman" w:hAnsi="Times New Roman" w:cs="Times New Roman"/>
          <w:sz w:val="24"/>
          <w:szCs w:val="24"/>
        </w:rPr>
        <w:t xml:space="preserve"> №</w:t>
      </w:r>
      <w:r w:rsidR="00282E36">
        <w:rPr>
          <w:rFonts w:ascii="Times New Roman" w:hAnsi="Times New Roman" w:cs="Times New Roman"/>
          <w:sz w:val="24"/>
          <w:szCs w:val="24"/>
        </w:rPr>
        <w:t>2</w:t>
      </w:r>
    </w:p>
    <w:p w:rsidR="00475E16" w:rsidRPr="00443326" w:rsidRDefault="00475E16" w:rsidP="00475E16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DC6402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282E36">
        <w:rPr>
          <w:rFonts w:ascii="Times New Roman" w:hAnsi="Times New Roman" w:cs="Times New Roman"/>
          <w:sz w:val="24"/>
          <w:szCs w:val="24"/>
        </w:rPr>
        <w:t>15</w:t>
      </w:r>
    </w:p>
    <w:p w:rsidR="00443326" w:rsidRDefault="00443326" w:rsidP="00D170E5">
      <w:pPr>
        <w:ind w:right="5670"/>
        <w:jc w:val="center"/>
        <w:rPr>
          <w:rFonts w:ascii="Times New Roman" w:hAnsi="Times New Roman" w:cs="Times New Roman"/>
          <w:sz w:val="28"/>
          <w:szCs w:val="28"/>
        </w:rPr>
      </w:pPr>
    </w:p>
    <w:p w:rsidR="00CF2223" w:rsidRPr="00282E36" w:rsidRDefault="00CF2223" w:rsidP="00CF22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E36">
        <w:rPr>
          <w:rFonts w:ascii="Times New Roman" w:hAnsi="Times New Roman" w:cs="Times New Roman"/>
          <w:b/>
          <w:sz w:val="24"/>
          <w:szCs w:val="24"/>
        </w:rPr>
        <w:t>Плановые объемы и стоимость по высокотехнологичной</w:t>
      </w:r>
      <w:r w:rsidR="00443326" w:rsidRPr="00282E36">
        <w:rPr>
          <w:rFonts w:ascii="Times New Roman" w:hAnsi="Times New Roman" w:cs="Times New Roman"/>
          <w:b/>
          <w:sz w:val="24"/>
          <w:szCs w:val="24"/>
        </w:rPr>
        <w:t xml:space="preserve"> медицинской помощи на 201</w:t>
      </w:r>
      <w:r w:rsidR="00CB3A22" w:rsidRPr="00282E36">
        <w:rPr>
          <w:rFonts w:ascii="Times New Roman" w:hAnsi="Times New Roman" w:cs="Times New Roman"/>
          <w:b/>
          <w:sz w:val="24"/>
          <w:szCs w:val="24"/>
        </w:rPr>
        <w:t>9</w:t>
      </w:r>
      <w:r w:rsidR="00443326" w:rsidRPr="00282E3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600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995"/>
        <w:gridCol w:w="1985"/>
        <w:gridCol w:w="2674"/>
        <w:gridCol w:w="1417"/>
        <w:gridCol w:w="1134"/>
        <w:gridCol w:w="2959"/>
        <w:gridCol w:w="1134"/>
        <w:gridCol w:w="1276"/>
      </w:tblGrid>
      <w:tr w:rsidR="00DC1E6F" w:rsidRPr="00DC1E6F" w:rsidTr="00282E36">
        <w:trPr>
          <w:cantSplit/>
          <w:trHeight w:val="230"/>
        </w:trPr>
        <w:tc>
          <w:tcPr>
            <w:tcW w:w="426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995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по МКБ-Х</w:t>
            </w:r>
          </w:p>
        </w:tc>
        <w:tc>
          <w:tcPr>
            <w:tcW w:w="2674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Модель пациента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лечения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группы ВМП</w:t>
            </w:r>
          </w:p>
        </w:tc>
        <w:tc>
          <w:tcPr>
            <w:tcW w:w="2959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1E6F" w:rsidRPr="00282E36" w:rsidRDefault="00282E36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(случаи)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Плановая стоимость </w:t>
            </w:r>
            <w:r w:rsid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</w:tr>
      <w:tr w:rsidR="00DC1E6F" w:rsidRPr="00DC1E6F" w:rsidTr="00282E36">
        <w:trPr>
          <w:cantSplit/>
          <w:trHeight w:val="23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59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ВМП по Республике Тыва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170674,4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"Перинатальный центр"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44246,2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5243,4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лечение при привычном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невынашивании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беременности, вызванном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тромбофилическими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мутациями, антифосфолипидным синдромом с применением  химиотерапевтических, экстракорпоральных, генно-инженерных, биологических, онтогенетических, молекулярно-генетических и иммуногенетических методов коррекции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О36.0, О36.1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Привычный выкидыш, сопровождающийся резус иммунизацией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Терапевтическое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523 Терапия с  использованием генно-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инжинерных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 лекарственных препаратов с последующим введением  иммуноглобулинов под контролем молекулярных диагностических методик, иммуноферментных,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гемостазиологических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методов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иследования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3895,1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Хирургическое органосохраняющее лечение женщин с несостоятельностью мышц тазового дна, опущением и выпадением органов малого таза, а также в сочетании со  стрессовым недержанием мочи, соединительно-тканными заболеваниями,  включая реконструктивно – пластические операции(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сакровагинопексию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лапароскопической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ассистенцией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, оперативные вмешательства с использованием сетчатых протезов)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N81, N88.4, N88.1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Цистоцеле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неполное и полное матки и стенок влагалища,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ректоцеле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, гипертрофия и элонгация шейки матки у пациенток репродуктивного возраста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31 Операции эндоскопическим, влагалищным и абдоминальным доступом и их сочетание в различной комбинации(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промонтофиксация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матки или культи влагалища с использованием синтетических сеток).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br/>
              <w:t>34 Операции эндоскопическим, влагалищным и абдоминальным доступом и их сочетание в различной комбинации( пластика шейки матки).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spacing w:after="16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1348,3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39002,8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Поликомпонентная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терапия синдрома дыхательных расстройств, врожденной пневмонии, сепсиса новорожденного, тяжелой церебральной патологии новорожденного с применением аппаратных методов замещения или поддержки витальных функций на основе динамического инструментального мониторинга основных параметров газообмена, гемодинамики, а также лучевых, биохимических, иммунологических и молекулярно-генетических исследований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Р22, Р23, Р36, Р10.0, Р10.1, Р10.2, Р10.3, Р10.4, Р10.8, Р11.1, Р11.5, Р52.1, Р52.2, Р52.4, Р52.6, Р90.0, Р91.0, Р91.2, Р91.4,  Р91.5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Внутрижелудочковое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кровоизлияние. Церебральная ишемия 2-3ст. Родовая травма. Сепсис новорожденных. Врожденная пневмония. Синдром дыхательных расстройств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Комбинированное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91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Инфузионная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кардиотоническаявазотропная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респираторная терапия на основании динамического инструментального мониторинга основных параметров газообмена,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доплерографического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кровотока в магистральных артериях, а также лучевых (включая МРТ), иммунологических и молекулярно-генетических исследований**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123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33104,8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Выхаживание новорожденных массой тела до 1500 г, включая детей с экстремально низкой массой тела при рождении, с созданием оптимальных контролируемых параметров поддержки витальных функций и щадяще-развивающих условий внешней среды под контролем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исследований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P05.0, P05.1, P07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Другие случаи малой массы тела при рождении. Другие случаи недоношенности. Крайняя незрелость. «Маловесный» для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гестационного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 плод. Малый размер плода для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гестационного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возраста. Крайне малая масса тела при рождении. Крайняя незрелость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Комбинированное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97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Инфузионная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кардиотоническая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вазотропная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респираторная терапия на основании динамического инструментального мониторинга основных параметров газообмена,  в том числе с возможным выполнением  дополнительных исследований(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доплерографического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кровотока в магистральных артериях, а также лучевых (МРТ), иммунологических и молекулярно-генетических исследований)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5898,1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126428,1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14995,5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Реконструктивные вмешательства при сложных и гигантских дефектах и деформациях свода и основания черепа, орбиты врожденного и приобретенного генеза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M84.8, M85.0, M85.5, Q01, Q67.2, Q67.3, Q75.0, Q75.2, Q75.8, Q87.0, S02.1, S02.2, S02.7 - S02.9, T90.2, T88.8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Дефекты и деформации свода и основания черепа, лицевого скелета врожденного и приобретенного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генезиза</w:t>
            </w:r>
            <w:proofErr w:type="spellEnd"/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89 Микрохирургическая реконструкция при врожденных и приобретенных дефектах, и деформациях свода и основания черепа, лицевого скелета с одномоментным применением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ауто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-и(или)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аллотрансплантантов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7649,2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Микрохирургические вмешательства при злокачественных (первичных и вторичных)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дорокачественных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оболочек головного мозга с вовлечением синусов , серповидного отростка и намета мозжечка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C71.6:C71.7:C79.3:D33.1:D18.1:D43.1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Внутримозговые злокачественные (первичные и вторичные) и доброкачественные новообразования мозжечка IV желудочка мозга, стволовой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папрастловой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локализации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64 Удаление опухоли с применением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интраоперационного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ультразвукового  сканирования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Микрохирургические и эндоскопические вмешательства при поражениях межпозвоночных дисков шейных и грудных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отделовс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миелопанией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радикуло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нейропатией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спондилолистезах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спинальных стенозах. Сложные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декомпрессионно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-стабилизирующие и реконструктивные операции при травмах и заболеваниях позвоночника 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сапровождающихся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миелопатии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с использованием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остеозамещающих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 , погруженных и наружных фиксирующих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успройсв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M42; М43;М45;М46;М48;M50;M51;М53;М92;М93;М95;G95.1;G95.2;G95.8;G95.9;Q76.2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Дегенеративно- дистрофическое поражение межпозвонковых дисков , суставов и связок позвоночника с формированием грыжи диска , деформацией (гипертрофией )суставов и связочного аппарата , нестабильностью сегмента 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спондилолистезом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позвоночного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тканала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его карманов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535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Декомпрессивно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-стабилизирующее вмешательство с резекцией позвонка, межпозвонкового диска, связочных элементов сегмента позвоночника из заднего или вентрального доступов, с фиксацией позвоночника , с использованием костной пластики (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спондилодеза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), погружных имплантатов и стабилизирующих систем при помощи микроскопа , эндоскопической техники и малоинвазивного инструментария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3082,7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3766,7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Реконструктивно-пластические операции при врожденных пороках развития черепно-челюстно-лицевой области.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Q36.9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Врожденная полная односторонняя расщелина верхней губы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440 Реконструктивная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хейлоринопластика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724,4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L91, M96, M95.0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Рубцовая деформация верхней губы и концевого отдела носа после ранее проведенной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хейлоринопластики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441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Хирурггичечкая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коррекция рубцовой деформации верхней губы и носа местными тканями.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724,4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Q35.1, М96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Послеоперационный дефект твердого неба.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лечение.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442 Пластика твердого неба лоскутом на ножке из прилегающих участков. (из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щеки,языка,верхней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губы)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1593,6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D11.0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Доброкачественное новообразование околоушной слюнной железы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449 Удаление новообразования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724,4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57484,60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Коронарная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реваскуляризация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миокарда с применением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ангиопластики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 сочетании со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стентированием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при ишемической болезни сердца</w:t>
            </w:r>
          </w:p>
        </w:tc>
        <w:tc>
          <w:tcPr>
            <w:tcW w:w="198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I20.0,I21.0,I21.1,I21.2,I21.3,I21.9,I22</w:t>
            </w:r>
          </w:p>
        </w:tc>
        <w:tc>
          <w:tcPr>
            <w:tcW w:w="2674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 ,острый и повторный инфаркт миокарда (с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подьемом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ST электрокардиограммы)</w:t>
            </w:r>
          </w:p>
        </w:tc>
        <w:tc>
          <w:tcPr>
            <w:tcW w:w="1417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498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баллоная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возодилатация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1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стента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10037,4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540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баллоная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возодилатация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2 стендов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6900,7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542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баллоная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возодилатация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3 стендов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5204,6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Коронарная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реваскуляризация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миокарда с применением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ангиопластики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 сочетании со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стентированием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при ишемической болезни сердца</w:t>
            </w:r>
          </w:p>
        </w:tc>
        <w:tc>
          <w:tcPr>
            <w:tcW w:w="198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I20.0,I21.4,I21.9,I22</w:t>
            </w:r>
          </w:p>
        </w:tc>
        <w:tc>
          <w:tcPr>
            <w:tcW w:w="2674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 ,острый и повторный инфаркт миокарда (без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подьема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Stэлектрокардиограммы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499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баллоная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возодилатация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1стента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13277,9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541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баллоная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возодилатация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2 стендов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9128,6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543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баллоная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возодилатация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3 стендов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4937,7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Коронарная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реваскуляризация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миокарда с применением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ангиопластики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 сочетании со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стентированием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при ишемической болезни сердца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I20.1, I20.8, I25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ишемическая болезнь сердца со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стенозированием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1-3 коронарных артерий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555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Балонная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вазодилатация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1-3 в сосуд (сосуды)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5906,2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хирургическая коррекция нарушений ритма сердца без имплантации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кардиовертера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-дефибриллятора у взрослых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медикаментозной терапии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500 Имплантация частотно-адаптированного однокамерного кардиостимулятора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165,4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Эндоваскулярная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хирургическая коррекция нарушений ритма сердца без имплантации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кардиовертера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-дефибриллятора 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527 Имплантация частотно-адаптированного двухкамерного кардиостимулятора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1926,2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11064,1</w:t>
            </w:r>
          </w:p>
        </w:tc>
      </w:tr>
      <w:tr w:rsidR="00282E36" w:rsidRPr="00DC1E6F" w:rsidTr="00282E36">
        <w:trPr>
          <w:cantSplit/>
          <w:trHeight w:val="3450"/>
        </w:trPr>
        <w:tc>
          <w:tcPr>
            <w:tcW w:w="426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хирургическое лечение глаукомы, включая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микроинвазивную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энергетическую оптико-реконструктивную и лазерную хирургию, имплантацию различных видов дренажей</w:t>
            </w:r>
          </w:p>
        </w:tc>
        <w:tc>
          <w:tcPr>
            <w:tcW w:w="1985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H26.0; H26.1; H26.2; H26.3; H26.4; H40.1; H40.2; H40.3; H40.4; H40.5; H40.6; H40.7; H40.8; Q15.0</w:t>
            </w:r>
          </w:p>
        </w:tc>
        <w:tc>
          <w:tcPr>
            <w:tcW w:w="2674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Глаукома взрослых с повышенным или высоким внутриглазным давлением развитой, далеко зашедшей стадии, в том числе с осложнениями у взрослых. Врожденная глаукома, глаукома вторичная у детей вследствие воспалительных и других заболеваний глаза, в том числе с осложнениями, у детей.</w:t>
            </w:r>
          </w:p>
        </w:tc>
        <w:tc>
          <w:tcPr>
            <w:tcW w:w="1417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959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456 Модифицированная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синустрабекулэктомия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в том числе ультразвуковая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факоэмульсификация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осложненной катаракты с имплантацией эластичной ИОЛ</w:t>
            </w:r>
          </w:p>
        </w:tc>
        <w:tc>
          <w:tcPr>
            <w:tcW w:w="1134" w:type="dxa"/>
            <w:vAlign w:val="center"/>
            <w:hideMark/>
          </w:tcPr>
          <w:p w:rsidR="00282E36" w:rsidRPr="00DC1E6F" w:rsidRDefault="00282E36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</w:tc>
        <w:tc>
          <w:tcPr>
            <w:tcW w:w="1276" w:type="dxa"/>
            <w:noWrap/>
            <w:vAlign w:val="center"/>
            <w:hideMark/>
          </w:tcPr>
          <w:p w:rsidR="00282E36" w:rsidRPr="00DC1E6F" w:rsidRDefault="00282E36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10142,1</w:t>
            </w:r>
          </w:p>
        </w:tc>
      </w:tr>
      <w:tr w:rsidR="00282E36" w:rsidRPr="00DC1E6F" w:rsidTr="00282E36">
        <w:trPr>
          <w:cantSplit/>
          <w:trHeight w:val="5290"/>
        </w:trPr>
        <w:tc>
          <w:tcPr>
            <w:tcW w:w="426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5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Реконструктивно-пластические и оптико-реконструктивные операции при травмах (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открытых,закрытых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)глаза ,его придаточного аппарата орбиты.</w:t>
            </w:r>
          </w:p>
        </w:tc>
        <w:tc>
          <w:tcPr>
            <w:tcW w:w="1985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H02.0 - H02.5, H04.0 - H04.6,H05.0-H05.5,H11.2,H21.5,H27.0,H27.1,H26.0-H26.9,H31.3,H40.3,S00.1,S00.2,S02.30,S02.31,S02.80,S02.81,S04.0-S04.5,S05.0-S05.9,T26.0-T26.9,H44.0-H44.8,T85.2,T85.3,T90.4,T95.0,T95.8</w:t>
            </w:r>
          </w:p>
        </w:tc>
        <w:tc>
          <w:tcPr>
            <w:tcW w:w="2674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термические и химические ожоги ,ограниченные областью глаза и его придаточного аппарата , при острой и стабильной фразе при любой стадии у взрослых и детей ,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ослажденные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патологией хрусталика ,стекловидного тела ,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офтальмогипертензией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,переломом дна орбиты , открытой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ранной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века и окологлазничной области ,вторичной глаукомой 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энтропионнам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трихиазом века ,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эктропионом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трихиазмом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века ,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эктропионном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века,гагофтальмом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, птозам века</w:t>
            </w:r>
          </w:p>
        </w:tc>
        <w:tc>
          <w:tcPr>
            <w:tcW w:w="1417" w:type="dxa"/>
            <w:hideMark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959" w:type="dxa"/>
          </w:tcPr>
          <w:p w:rsidR="00282E36" w:rsidRPr="00DC1E6F" w:rsidRDefault="00282E36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391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Факоаспирация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травматической катаракты с имплантацией различных моделей ИОЛ </w:t>
            </w:r>
          </w:p>
        </w:tc>
        <w:tc>
          <w:tcPr>
            <w:tcW w:w="1134" w:type="dxa"/>
            <w:vAlign w:val="center"/>
          </w:tcPr>
          <w:p w:rsidR="00282E36" w:rsidRPr="00DC1E6F" w:rsidRDefault="00282E36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:rsidR="00282E36" w:rsidRPr="00DC1E6F" w:rsidRDefault="00282E36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922,0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111,5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Оперативные вмешательства на органах мочеполовой системы с использованием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лапароскопической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техники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N28.1,Q61.1,N13.0,N13.1,N13.2,N28,I86.1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Прогрессивно растущая киста почки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435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Лапаро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-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ретроперитонеоскопическое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иссечение кисты почки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Абдоминальная хирургия 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4130,5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Микрохирургические и реконструктивно-пластические операции на печени, желчных протоках и сосудах печени, в том числе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эндоваскулярные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 на сосудах печени и реконструктивные операции на сосудах системы воротной вены,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стентирование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внутри- и внепеченочных желчных протоков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D18.0, D13.4, D13.5, B67.0, K76.6, K76.8, Q26.5, I85.0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Заболевания, врожденные аномалии печени, желчных протоков, воротной вены. Новообразования печени. Новообразования внутрипеченочных желчных протоков. Новообразования внепеченочных желчных протоков. Новообразования желчного пузыря. Инвазия печени, вызванная эхинококком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11 Резекция печени атипичная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538,8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Реконструктивно-пластические, в том числе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лапароскопически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ассистированные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, операции на тонкой кишке, толстой кишке и промежности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D12.6;K60.4;N82.2;N82.3;N82.4;K57.2;K59.3;Q43.1;Q43.2;Q43.3;Q52.2;K59.0;K59.3;Z93.2;Z93.3;K55.2;K51;K50.0;K50.1;K50.8;К57.2;К62.3;К62.8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Семейный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аденоматоз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толстой кишки, тотальное поражение всех отделов толстой кишки полипами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хирургическое 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13 Реконструктивно-пластическая операция по восстановлению непрерывности кишечника - закрытие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стомы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 формированием анастомоза.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3591,8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99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Травмотолигия</w:t>
            </w:r>
            <w:proofErr w:type="spellEnd"/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ортопедия</w:t>
            </w:r>
          </w:p>
        </w:tc>
        <w:tc>
          <w:tcPr>
            <w:tcW w:w="1985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9" w:type="dxa"/>
            <w:hideMark/>
          </w:tcPr>
          <w:p w:rsidR="00DC1E6F" w:rsidRPr="00282E36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276" w:type="dxa"/>
            <w:vAlign w:val="center"/>
            <w:hideMark/>
          </w:tcPr>
          <w:p w:rsidR="00DC1E6F" w:rsidRPr="00282E36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2E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34875,3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Реконструктивные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декомпрессивные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 при травмах и заболеваниях позвоночника  с применением погружных и наружных фиксирующих устройств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T84,S12.0, S12.1, S13, S19, S22.0, S22.1, S23, S32.0, S32.1, S33, T08, T09, T85, T91, M80, M81, M82, M86, M85, M87, M96, M99, Q67, Q76.0, Q76.1, Q76.4, Q77, Q76.3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стабильные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неослажненные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переломы  позвоночников, повреждения (разрыв) межпозвонковых дисков и связок позвоночника ,деформации позвоночного столба вследствие его врожденной патологии перенесенных заболеваний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417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Декомпрессивно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-стабилизирующее вмешательство с фиксацией позвоночника дорсальными или вентральными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имплантами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7132,5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Реконструктивно-пластические операции при комбинированных дефектах и деформациях дистальных отделов конечностей с использованием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чрескостных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аппаратов и прецизионной техники, а также замещением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мягкотканных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костных хрящевых дефектов синтетическими и биологическими материалами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S44, S45, S46, S50, M19.1, M20.1, M20.5, Q05.9, Q66.0, Q66.5, Q66.8, Q68.2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Врожденные и приобретенные дефекты и деформации стопы и кисти, предплечья различной этиологии у взрослых. Любой этиологии деформации стопы и кисти у детей</w:t>
            </w:r>
          </w:p>
        </w:tc>
        <w:tc>
          <w:tcPr>
            <w:tcW w:w="1417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</w:t>
            </w:r>
            <w:bookmarkStart w:id="0" w:name="_GoBack"/>
            <w:bookmarkEnd w:id="0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420 Реконструктивно-пластическое хирургическое вмешательство на костях стопы, с использованием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ауто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- и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аллотрансплантатов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, имплантатов,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остеозамещающих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материалов, металлоконструкций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449,8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Реконструктивно-пластические операции на костях таза, верхних и нижних конечностей с использованием погружных или наружных фиксирующих устройств, синтетических и биологических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остеозамещающих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материалов, компьютерной навигации</w:t>
            </w:r>
          </w:p>
        </w:tc>
        <w:tc>
          <w:tcPr>
            <w:tcW w:w="198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S70.7, S70.9, S71, S72, S77, S79, S42, S43, S47, S49, S50, M99.9, M21.6, M95.1, M1.8, M21.9, Q66, Q78, M86, G11.4, G12.1, G80.9, G80.1, G80.2  M25.3, M91, M95.8, Q65.0, Q65.1, Q65.3, Q65.4, Q65.8, 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16.2, 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16.3, 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1E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 M24.6</w:t>
            </w:r>
          </w:p>
        </w:tc>
        <w:tc>
          <w:tcPr>
            <w:tcW w:w="2674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Любой этиологии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Любой этиологии дефекты 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суставов. Деформации костей таза, бедренной кости у детей со спастическим синдромом</w:t>
            </w:r>
          </w:p>
        </w:tc>
        <w:tc>
          <w:tcPr>
            <w:tcW w:w="1417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422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Чрескостный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остеосинтез методом компоновок аппаратов с использованием модульной трансформации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6297,6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423 Корригирующие остеотомии костей верхних и нижних конечностей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5098,0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424 Комбинированное и последовательное использование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чрескостного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и блокируемого интрамедуллярного или накостного остеосинтеза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9746,2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5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Эндопротезирование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суставов конечностей</w:t>
            </w: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S72.1, M84.1 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417" w:type="dxa"/>
            <w:vMerge w:val="restart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Хирургическое лечение</w:t>
            </w: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428 Имплантация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эндопротеза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сустава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3097,7</w:t>
            </w:r>
          </w:p>
        </w:tc>
      </w:tr>
      <w:tr w:rsidR="00DC1E6F" w:rsidRPr="00DC1E6F" w:rsidTr="00282E36">
        <w:trPr>
          <w:cantSplit/>
          <w:trHeight w:val="20"/>
        </w:trPr>
        <w:tc>
          <w:tcPr>
            <w:tcW w:w="426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5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M16.1</w:t>
            </w:r>
          </w:p>
        </w:tc>
        <w:tc>
          <w:tcPr>
            <w:tcW w:w="267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Идиопатический деформирующий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коксартроз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без существенной разницы</w:t>
            </w:r>
            <w:r w:rsidRPr="00DC1E6F">
              <w:rPr>
                <w:rFonts w:ascii="Times New Roman" w:hAnsi="Times New Roman" w:cs="Times New Roman"/>
                <w:sz w:val="20"/>
                <w:szCs w:val="20"/>
              </w:rPr>
              <w:br/>
              <w:t>в длине конечностей (до 2 см)</w:t>
            </w:r>
          </w:p>
        </w:tc>
        <w:tc>
          <w:tcPr>
            <w:tcW w:w="1417" w:type="dxa"/>
            <w:vMerge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2959" w:type="dxa"/>
            <w:hideMark/>
          </w:tcPr>
          <w:p w:rsidR="00DC1E6F" w:rsidRPr="00DC1E6F" w:rsidRDefault="00DC1E6F" w:rsidP="00DC1E6F">
            <w:pPr>
              <w:tabs>
                <w:tab w:val="left" w:pos="43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521 Имплантация </w:t>
            </w:r>
            <w:proofErr w:type="spellStart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эндопротеза</w:t>
            </w:r>
            <w:proofErr w:type="spellEnd"/>
            <w:r w:rsidRPr="00DC1E6F">
              <w:rPr>
                <w:rFonts w:ascii="Times New Roman" w:hAnsi="Times New Roman" w:cs="Times New Roman"/>
                <w:sz w:val="20"/>
                <w:szCs w:val="20"/>
              </w:rPr>
              <w:t xml:space="preserve"> сустава </w:t>
            </w:r>
          </w:p>
        </w:tc>
        <w:tc>
          <w:tcPr>
            <w:tcW w:w="1134" w:type="dxa"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noWrap/>
            <w:vAlign w:val="center"/>
            <w:hideMark/>
          </w:tcPr>
          <w:p w:rsidR="00DC1E6F" w:rsidRPr="00DC1E6F" w:rsidRDefault="00DC1E6F" w:rsidP="00282E36">
            <w:pPr>
              <w:tabs>
                <w:tab w:val="left" w:pos="439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E6F">
              <w:rPr>
                <w:rFonts w:ascii="Times New Roman" w:hAnsi="Times New Roman" w:cs="Times New Roman"/>
                <w:sz w:val="20"/>
                <w:szCs w:val="20"/>
              </w:rPr>
              <w:t>2753,5</w:t>
            </w:r>
          </w:p>
        </w:tc>
      </w:tr>
    </w:tbl>
    <w:p w:rsidR="00AB49D4" w:rsidRDefault="00852545" w:rsidP="00852545">
      <w:pPr>
        <w:tabs>
          <w:tab w:val="left" w:pos="4395"/>
        </w:tabs>
      </w:pPr>
      <w:r>
        <w:br w:type="textWrapping" w:clear="all"/>
      </w:r>
    </w:p>
    <w:p w:rsidR="00CF2223" w:rsidRDefault="00CF2223" w:rsidP="00852545">
      <w:pPr>
        <w:tabs>
          <w:tab w:val="left" w:pos="4395"/>
        </w:tabs>
      </w:pPr>
    </w:p>
    <w:sectPr w:rsidR="00CF2223" w:rsidSect="00E613C5">
      <w:pgSz w:w="16838" w:h="11906" w:orient="landscape"/>
      <w:pgMar w:top="284" w:right="678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35"/>
    <w:rsid w:val="00005DDE"/>
    <w:rsid w:val="000704DD"/>
    <w:rsid w:val="000D3150"/>
    <w:rsid w:val="00145C08"/>
    <w:rsid w:val="00176957"/>
    <w:rsid w:val="00177CF6"/>
    <w:rsid w:val="001C67B8"/>
    <w:rsid w:val="00274377"/>
    <w:rsid w:val="00282E36"/>
    <w:rsid w:val="003D026C"/>
    <w:rsid w:val="0040519C"/>
    <w:rsid w:val="004258B8"/>
    <w:rsid w:val="00436435"/>
    <w:rsid w:val="00443326"/>
    <w:rsid w:val="004640A5"/>
    <w:rsid w:val="00475E16"/>
    <w:rsid w:val="00483EDF"/>
    <w:rsid w:val="00543A37"/>
    <w:rsid w:val="00590B73"/>
    <w:rsid w:val="0069434F"/>
    <w:rsid w:val="006C6BDE"/>
    <w:rsid w:val="0075234A"/>
    <w:rsid w:val="0076020A"/>
    <w:rsid w:val="0077231E"/>
    <w:rsid w:val="007A676B"/>
    <w:rsid w:val="007C1C77"/>
    <w:rsid w:val="007F781A"/>
    <w:rsid w:val="00822F0F"/>
    <w:rsid w:val="00852545"/>
    <w:rsid w:val="0085304C"/>
    <w:rsid w:val="008A0A13"/>
    <w:rsid w:val="008E0E8A"/>
    <w:rsid w:val="0099193E"/>
    <w:rsid w:val="009D3C5E"/>
    <w:rsid w:val="00A325C6"/>
    <w:rsid w:val="00A92CD7"/>
    <w:rsid w:val="00AB49D4"/>
    <w:rsid w:val="00CB3A22"/>
    <w:rsid w:val="00CF2223"/>
    <w:rsid w:val="00D06151"/>
    <w:rsid w:val="00D102C7"/>
    <w:rsid w:val="00D170E5"/>
    <w:rsid w:val="00D32896"/>
    <w:rsid w:val="00DA2087"/>
    <w:rsid w:val="00DB63B5"/>
    <w:rsid w:val="00DC1E6F"/>
    <w:rsid w:val="00DC6402"/>
    <w:rsid w:val="00DE6B51"/>
    <w:rsid w:val="00E4253A"/>
    <w:rsid w:val="00E613C5"/>
    <w:rsid w:val="00F01C3F"/>
    <w:rsid w:val="00F22104"/>
    <w:rsid w:val="00FC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7873D-254D-4E33-921E-A9AD91D8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5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5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17</cp:revision>
  <cp:lastPrinted>2018-12-25T08:32:00Z</cp:lastPrinted>
  <dcterms:created xsi:type="dcterms:W3CDTF">2019-03-29T04:04:00Z</dcterms:created>
  <dcterms:modified xsi:type="dcterms:W3CDTF">2019-12-23T02:30:00Z</dcterms:modified>
</cp:coreProperties>
</file>