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AC1" w:rsidRDefault="00B14AC1" w:rsidP="00B14AC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Требования к письменному обращению в государственные органы, органы местного самоуправления  </w:t>
      </w:r>
    </w:p>
    <w:p w:rsidR="00B14AC1" w:rsidRDefault="00B14AC1" w:rsidP="00B14AC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В соответствии со статьей 7  Федерального</w:t>
      </w:r>
      <w:r w:rsidRPr="00FE4F49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4F49">
        <w:rPr>
          <w:rFonts w:ascii="Times New Roman" w:hAnsi="Times New Roman" w:cs="Times New Roman"/>
          <w:sz w:val="24"/>
          <w:szCs w:val="24"/>
        </w:rPr>
        <w:t xml:space="preserve"> от 02.05.2</w:t>
      </w:r>
      <w:r>
        <w:rPr>
          <w:rFonts w:ascii="Times New Roman" w:hAnsi="Times New Roman" w:cs="Times New Roman"/>
          <w:sz w:val="24"/>
          <w:szCs w:val="24"/>
        </w:rPr>
        <w:t>006 N 59-ФЗ «</w:t>
      </w:r>
      <w:r w:rsidRPr="00FE4F49">
        <w:rPr>
          <w:rFonts w:ascii="Times New Roman" w:hAnsi="Times New Roman" w:cs="Times New Roman"/>
          <w:sz w:val="24"/>
          <w:szCs w:val="24"/>
        </w:rPr>
        <w:t>О порядке рассмотрения обращен</w:t>
      </w:r>
      <w:r>
        <w:rPr>
          <w:rFonts w:ascii="Times New Roman" w:hAnsi="Times New Roman" w:cs="Times New Roman"/>
          <w:sz w:val="24"/>
          <w:szCs w:val="24"/>
        </w:rPr>
        <w:t xml:space="preserve">ий граждан Российской Федерации» </w:t>
      </w:r>
      <w:r w:rsidRPr="00FE4F49">
        <w:rPr>
          <w:rFonts w:ascii="Times New Roman" w:hAnsi="Times New Roman" w:cs="Times New Roman"/>
          <w:i/>
          <w:sz w:val="24"/>
          <w:szCs w:val="24"/>
        </w:rPr>
        <w:t xml:space="preserve">гражданин в своем письменном обращении </w:t>
      </w:r>
      <w:r w:rsidRPr="00FE4F49">
        <w:rPr>
          <w:rFonts w:ascii="Times New Roman" w:hAnsi="Times New Roman" w:cs="Times New Roman"/>
          <w:sz w:val="24"/>
          <w:szCs w:val="24"/>
        </w:rPr>
        <w:t xml:space="preserve">в обязательном порядке </w:t>
      </w:r>
      <w:r w:rsidRPr="00FE4F49">
        <w:rPr>
          <w:rFonts w:ascii="Times New Roman" w:hAnsi="Times New Roman" w:cs="Times New Roman"/>
          <w:i/>
          <w:sz w:val="24"/>
          <w:szCs w:val="24"/>
        </w:rPr>
        <w:t>указывает</w:t>
      </w:r>
      <w:r w:rsidRPr="00FE4F49">
        <w:rPr>
          <w:rFonts w:ascii="Times New Roman" w:hAnsi="Times New Roman" w:cs="Times New Roman"/>
          <w:sz w:val="24"/>
          <w:szCs w:val="24"/>
        </w:rPr>
        <w:t xml:space="preserve">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14AC1" w:rsidRDefault="00B14AC1" w:rsidP="00B14A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F49">
        <w:rPr>
          <w:rFonts w:ascii="Times New Roman" w:hAnsi="Times New Roman" w:cs="Times New Roman"/>
          <w:sz w:val="24"/>
          <w:szCs w:val="24"/>
        </w:rPr>
        <w:t>В случае необходимости в подтверждение своих доводов гражданин прилагает к письменному обращению документы и материалы либо их копии.</w:t>
      </w:r>
      <w:r>
        <w:rPr>
          <w:rFonts w:ascii="Times New Roman" w:hAnsi="Times New Roman" w:cs="Times New Roman"/>
          <w:sz w:val="24"/>
          <w:szCs w:val="24"/>
        </w:rPr>
        <w:t xml:space="preserve"> Обращение можно направить и в электронной форме.</w:t>
      </w:r>
    </w:p>
    <w:p w:rsidR="00B14AC1" w:rsidRPr="00B14AC1" w:rsidRDefault="00B14AC1" w:rsidP="00B14AC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AC1">
        <w:rPr>
          <w:rFonts w:ascii="Times New Roman" w:hAnsi="Times New Roman" w:cs="Times New Roman"/>
          <w:b/>
          <w:sz w:val="24"/>
          <w:szCs w:val="24"/>
        </w:rPr>
        <w:t>Направление и регистрация письменного обращения</w:t>
      </w:r>
    </w:p>
    <w:p w:rsidR="00B14AC1" w:rsidRPr="00B14AC1" w:rsidRDefault="00B14AC1" w:rsidP="00B14A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AC1">
        <w:rPr>
          <w:rFonts w:ascii="Times New Roman" w:hAnsi="Times New Roman" w:cs="Times New Roman"/>
          <w:sz w:val="24"/>
          <w:szCs w:val="24"/>
        </w:rPr>
        <w:t>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14AC1" w:rsidRPr="00B14AC1" w:rsidRDefault="00B14AC1" w:rsidP="00B14AC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AC1">
        <w:rPr>
          <w:rFonts w:ascii="Times New Roman" w:hAnsi="Times New Roman" w:cs="Times New Roman"/>
          <w:sz w:val="24"/>
          <w:szCs w:val="24"/>
        </w:rPr>
        <w:t>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A1842" w:rsidRDefault="00B14AC1" w:rsidP="008A184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4AC1">
        <w:rPr>
          <w:rFonts w:ascii="Times New Roman" w:hAnsi="Times New Roman" w:cs="Times New Roman"/>
          <w:sz w:val="24"/>
          <w:szCs w:val="24"/>
        </w:rP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</w:t>
      </w:r>
      <w:r>
        <w:rPr>
          <w:rFonts w:ascii="Times New Roman" w:hAnsi="Times New Roman" w:cs="Times New Roman"/>
          <w:sz w:val="24"/>
          <w:szCs w:val="24"/>
        </w:rPr>
        <w:t>вышеуказанного</w:t>
      </w:r>
      <w:r w:rsidR="008A1842">
        <w:rPr>
          <w:rFonts w:ascii="Times New Roman" w:hAnsi="Times New Roman" w:cs="Times New Roman"/>
          <w:sz w:val="24"/>
          <w:szCs w:val="24"/>
        </w:rPr>
        <w:t xml:space="preserve"> Федерального закона.</w:t>
      </w:r>
    </w:p>
    <w:p w:rsidR="00EB01FC" w:rsidRPr="00EB01FC" w:rsidRDefault="00EB01FC" w:rsidP="00EB01F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1FC">
        <w:rPr>
          <w:rFonts w:ascii="Times New Roman" w:hAnsi="Times New Roman" w:cs="Times New Roman"/>
          <w:sz w:val="24"/>
          <w:szCs w:val="24"/>
        </w:rPr>
        <w:t>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14AC1" w:rsidRPr="009B73EA" w:rsidRDefault="00EB01FC" w:rsidP="009F1D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01FC">
        <w:rPr>
          <w:rFonts w:ascii="Times New Roman" w:hAnsi="Times New Roman" w:cs="Times New Roman"/>
          <w:sz w:val="24"/>
          <w:szCs w:val="24"/>
        </w:rPr>
        <w:t>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</w:t>
      </w:r>
      <w:r w:rsidR="009F1DFD">
        <w:rPr>
          <w:rFonts w:ascii="Times New Roman" w:hAnsi="Times New Roman" w:cs="Times New Roman"/>
          <w:sz w:val="24"/>
          <w:szCs w:val="24"/>
        </w:rPr>
        <w:t>мотрения письменного обращения.</w:t>
      </w:r>
    </w:p>
    <w:p w:rsidR="00B14AC1" w:rsidRPr="009B73EA" w:rsidRDefault="009F1DFD" w:rsidP="009F1DFD">
      <w:pPr>
        <w:spacing w:after="100" w:afterAutospacing="1" w:line="240" w:lineRule="auto"/>
        <w:ind w:firstLine="708"/>
        <w:jc w:val="center"/>
        <w:rPr>
          <w:rFonts w:ascii="europecondregular" w:eastAsia="Times New Roman" w:hAnsi="europecondregular" w:cs="Times New Roman"/>
          <w:b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b/>
          <w:color w:val="000000"/>
          <w:sz w:val="24"/>
          <w:szCs w:val="24"/>
          <w:lang w:eastAsia="ru-RU"/>
        </w:rPr>
        <w:t>Обязательность принятия обращения к рассмотрению</w:t>
      </w:r>
    </w:p>
    <w:p w:rsidR="009F1DFD" w:rsidRPr="009F1DFD" w:rsidRDefault="009F1DFD" w:rsidP="009F1DFD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9F1DFD" w:rsidRDefault="009F1DFD" w:rsidP="009F1DFD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b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lastRenderedPageBreak/>
        <w:t xml:space="preserve">В случае </w:t>
      </w:r>
      <w:proofErr w:type="gramStart"/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необходимости</w:t>
      </w:r>
      <w:proofErr w:type="gramEnd"/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9F1DFD" w:rsidRPr="009F1DFD" w:rsidRDefault="009F1DFD" w:rsidP="009F1DFD">
      <w:pPr>
        <w:spacing w:after="270" w:line="240" w:lineRule="auto"/>
        <w:ind w:firstLine="708"/>
        <w:jc w:val="center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b/>
          <w:color w:val="000000"/>
          <w:sz w:val="24"/>
          <w:szCs w:val="24"/>
          <w:lang w:eastAsia="ru-RU"/>
        </w:rPr>
        <w:t>Рассмотрение обращения</w:t>
      </w:r>
    </w:p>
    <w:p w:rsidR="009F1DFD" w:rsidRPr="009F1DFD" w:rsidRDefault="009F1DFD" w:rsidP="009F1DFD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 Государственный орган, орган местного самоуправления или должностное лицо:</w:t>
      </w:r>
    </w:p>
    <w:p w:rsidR="009F1DFD" w:rsidRPr="009F1DFD" w:rsidRDefault="009F1DFD" w:rsidP="009F1DFD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9F1DFD" w:rsidRPr="009F1DFD" w:rsidRDefault="009F1DFD" w:rsidP="009F1DFD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</w:t>
      </w:r>
      <w:r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нов предварительного следствия;</w:t>
      </w:r>
    </w:p>
    <w:p w:rsidR="009F1DFD" w:rsidRPr="009F1DFD" w:rsidRDefault="009F1DFD" w:rsidP="009F1DFD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9F1DFD" w:rsidRPr="009F1DFD" w:rsidRDefault="009F1DFD" w:rsidP="009F1DFD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4) дает письменный ответ по существу поставленных в обращении вопросов, за исключением случаев, указанных в статье 11 </w:t>
      </w:r>
      <w:r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вышеуказанного</w:t>
      </w: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 Федерального закона;</w:t>
      </w:r>
    </w:p>
    <w:p w:rsidR="009F1DFD" w:rsidRPr="009F1DFD" w:rsidRDefault="009F1DFD" w:rsidP="009F1DFD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9F1DFD" w:rsidRPr="009F1DFD" w:rsidRDefault="009F1DFD" w:rsidP="009F1DFD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9F1DFD" w:rsidRPr="009F1DFD" w:rsidRDefault="009F1DFD" w:rsidP="009F1DFD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14AC1" w:rsidRDefault="009F1DFD" w:rsidP="009F1DFD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</w:t>
      </w:r>
      <w:r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аний части 2 статьи 6 вышеуказанного</w:t>
      </w: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 Федерального закона на официальном сайте данных государственного органа или органа местного самоуправления в информаци</w:t>
      </w:r>
      <w:r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онно-телекоммуникационной сети «Интернет»</w:t>
      </w:r>
      <w:r w:rsidRPr="009F1DFD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.</w:t>
      </w:r>
    </w:p>
    <w:p w:rsidR="004149E6" w:rsidRPr="004149E6" w:rsidRDefault="004149E6" w:rsidP="004149E6">
      <w:pPr>
        <w:spacing w:after="270" w:line="240" w:lineRule="auto"/>
        <w:ind w:firstLine="708"/>
        <w:jc w:val="center"/>
        <w:rPr>
          <w:rFonts w:ascii="europecondregular" w:eastAsia="Times New Roman" w:hAnsi="europecondregular" w:cs="Times New Roman"/>
          <w:b/>
          <w:color w:val="000000"/>
          <w:sz w:val="24"/>
          <w:szCs w:val="24"/>
          <w:lang w:eastAsia="ru-RU"/>
        </w:rPr>
      </w:pPr>
      <w:r w:rsidRPr="004149E6">
        <w:rPr>
          <w:rFonts w:ascii="europecondregular" w:eastAsia="Times New Roman" w:hAnsi="europecondregular" w:cs="Times New Roman"/>
          <w:b/>
          <w:color w:val="000000"/>
          <w:sz w:val="24"/>
          <w:szCs w:val="24"/>
          <w:lang w:eastAsia="ru-RU"/>
        </w:rPr>
        <w:t>Порядок рассмотрения отдельных обращений</w:t>
      </w:r>
    </w:p>
    <w:p w:rsidR="004149E6" w:rsidRPr="004149E6" w:rsidRDefault="004149E6" w:rsidP="004149E6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</w:p>
    <w:p w:rsidR="004149E6" w:rsidRPr="004149E6" w:rsidRDefault="004149E6" w:rsidP="004149E6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4149E6" w:rsidRPr="004149E6" w:rsidRDefault="004149E6" w:rsidP="004149E6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4149E6" w:rsidRPr="004149E6" w:rsidRDefault="004149E6" w:rsidP="004149E6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4149E6" w:rsidRDefault="004149E6" w:rsidP="004149E6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В случае, если текст письменного обращения не поддается прочтению, ответ на обращение </w:t>
      </w:r>
      <w:proofErr w:type="gramStart"/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не дается</w:t>
      </w:r>
      <w:proofErr w:type="gramEnd"/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</w:t>
      </w:r>
      <w:r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овый адрес поддаются прочтению.</w:t>
      </w:r>
    </w:p>
    <w:p w:rsidR="004149E6" w:rsidRPr="004149E6" w:rsidRDefault="004149E6" w:rsidP="004149E6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не дается</w:t>
      </w:r>
      <w:proofErr w:type="gramEnd"/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4149E6" w:rsidRPr="004149E6" w:rsidRDefault="004149E6" w:rsidP="004149E6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4149E6" w:rsidRPr="004149E6" w:rsidRDefault="004149E6" w:rsidP="004149E6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</w:t>
      </w:r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lastRenderedPageBreak/>
        <w:t>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4149E6" w:rsidRPr="004149E6" w:rsidRDefault="004149E6" w:rsidP="004149E6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9F1DFD" w:rsidRDefault="004149E6" w:rsidP="004149E6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4149E6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61196A" w:rsidRPr="0061196A" w:rsidRDefault="0061196A" w:rsidP="0061196A">
      <w:pPr>
        <w:spacing w:after="270" w:line="240" w:lineRule="auto"/>
        <w:ind w:firstLine="708"/>
        <w:jc w:val="center"/>
        <w:rPr>
          <w:rFonts w:ascii="europecondregular" w:eastAsia="Times New Roman" w:hAnsi="europecondregular" w:cs="Times New Roman"/>
          <w:b/>
          <w:color w:val="000000"/>
          <w:sz w:val="24"/>
          <w:szCs w:val="24"/>
          <w:lang w:eastAsia="ru-RU"/>
        </w:rPr>
      </w:pPr>
      <w:r w:rsidRPr="0061196A">
        <w:rPr>
          <w:rFonts w:ascii="europecondregular" w:eastAsia="Times New Roman" w:hAnsi="europecondregular" w:cs="Times New Roman"/>
          <w:b/>
          <w:color w:val="000000"/>
          <w:sz w:val="24"/>
          <w:szCs w:val="24"/>
          <w:lang w:eastAsia="ru-RU"/>
        </w:rPr>
        <w:t>Сроки рассмотрения письменного обращения</w:t>
      </w:r>
    </w:p>
    <w:p w:rsidR="0061196A" w:rsidRPr="0061196A" w:rsidRDefault="0061196A" w:rsidP="0061196A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61196A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</w:t>
      </w:r>
      <w:r w:rsidRPr="0061196A">
        <w:rPr>
          <w:rFonts w:ascii="europecondregular" w:eastAsia="Times New Roman" w:hAnsi="europecondregular" w:cs="Times New Roman"/>
          <w:b/>
          <w:color w:val="000000"/>
          <w:sz w:val="24"/>
          <w:szCs w:val="24"/>
          <w:lang w:eastAsia="ru-RU"/>
        </w:rPr>
        <w:t>30 дней</w:t>
      </w:r>
      <w:r w:rsidRPr="0061196A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 со дня рег</w:t>
      </w:r>
      <w:r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истрации письменного обращения.</w:t>
      </w:r>
    </w:p>
    <w:p w:rsidR="0061196A" w:rsidRPr="0061196A" w:rsidRDefault="0061196A" w:rsidP="0061196A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61196A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</w:t>
      </w:r>
      <w:r w:rsidRPr="0061196A">
        <w:rPr>
          <w:rFonts w:ascii="europecondregular" w:eastAsia="Times New Roman" w:hAnsi="europecondregular" w:cs="Times New Roman"/>
          <w:b/>
          <w:color w:val="000000"/>
          <w:sz w:val="24"/>
          <w:szCs w:val="24"/>
          <w:lang w:eastAsia="ru-RU"/>
        </w:rPr>
        <w:t>20 дней</w:t>
      </w:r>
      <w:r w:rsidRPr="0061196A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 со дня регистрации письменного обращения.</w:t>
      </w:r>
    </w:p>
    <w:p w:rsidR="0061196A" w:rsidRDefault="0061196A" w:rsidP="0061196A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  <w:r w:rsidRPr="0061196A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>В исключительных случаях, а также в случае направления запроса, пред</w:t>
      </w:r>
      <w:r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усмотренного частью 2 статьи 10 вышеуказанного </w:t>
      </w:r>
      <w:r w:rsidRPr="0061196A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</w:t>
      </w:r>
      <w:r w:rsidRPr="0061196A">
        <w:rPr>
          <w:rFonts w:ascii="europecondregular" w:eastAsia="Times New Roman" w:hAnsi="europecondregular" w:cs="Times New Roman"/>
          <w:b/>
          <w:color w:val="000000"/>
          <w:sz w:val="24"/>
          <w:szCs w:val="24"/>
          <w:lang w:eastAsia="ru-RU"/>
        </w:rPr>
        <w:t>не более чем на 30 дней,</w:t>
      </w:r>
      <w:r w:rsidRPr="0061196A"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  <w:t xml:space="preserve"> уведомив о продлении срока его рассмотрения гражданина, направившего обращение.</w:t>
      </w:r>
    </w:p>
    <w:p w:rsidR="004149E6" w:rsidRPr="009B0F88" w:rsidRDefault="004149E6" w:rsidP="004149E6">
      <w:pPr>
        <w:spacing w:after="270" w:line="240" w:lineRule="auto"/>
        <w:ind w:firstLine="708"/>
        <w:jc w:val="both"/>
        <w:rPr>
          <w:rFonts w:ascii="europecondregular" w:eastAsia="Times New Roman" w:hAnsi="europecondregular" w:cs="Times New Roman"/>
          <w:color w:val="000000"/>
          <w:sz w:val="24"/>
          <w:szCs w:val="24"/>
          <w:lang w:eastAsia="ru-RU"/>
        </w:rPr>
      </w:pPr>
    </w:p>
    <w:p w:rsidR="0056757A" w:rsidRDefault="0056757A"/>
    <w:sectPr w:rsidR="0056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uropecond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4A"/>
    <w:rsid w:val="004149E6"/>
    <w:rsid w:val="004D7FF8"/>
    <w:rsid w:val="0056757A"/>
    <w:rsid w:val="0061196A"/>
    <w:rsid w:val="008A1842"/>
    <w:rsid w:val="009F1DFD"/>
    <w:rsid w:val="00AF574A"/>
    <w:rsid w:val="00B14AC1"/>
    <w:rsid w:val="00EB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2B27BE-23A8-4201-B5A0-F0D74655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Тайбыл Рената Сергеевна</dc:creator>
  <cp:keywords/>
  <dc:description/>
  <cp:lastModifiedBy>Пользователь</cp:lastModifiedBy>
  <cp:revision>2</cp:revision>
  <dcterms:created xsi:type="dcterms:W3CDTF">2022-07-08T10:42:00Z</dcterms:created>
  <dcterms:modified xsi:type="dcterms:W3CDTF">2022-07-08T10:42:00Z</dcterms:modified>
</cp:coreProperties>
</file>